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lang w:val="ru-RU"/>
        </w:rPr>
      </w:pPr>
      <w:r>
        <w:rPr>
          <w:rFonts w:cs="Times New Roman" w:ascii="Times New Roman" w:hAnsi="Times New Roman"/>
          <w:b/>
          <w:sz w:val="24"/>
          <w:lang w:val="ru-RU"/>
        </w:rPr>
        <w:t>Вопросы к экзамену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Классификация механизмов, узлов и деталей. Основы проектирования механизмов, стадии разработки. Критерии работоспособности. Методы оценки прочности, жесткости, износостойкости, теплостойкости, вибрационной устойчивости.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Соединения деталей машин. Классификация соединений деталей машин.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Заклепочные соединения. Расчет и конструирование заклепочных швов.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Сварные соединения. Виды сварных соединений, типы сварных швов. Расчет и конструирование сварных соединений.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Клеевые и паяные соединения.</w:t>
      </w:r>
      <w:bookmarkStart w:id="0" w:name="_GoBack"/>
      <w:bookmarkEnd w:id="0"/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Резьбы. Классификация. Резьбовые соединения. Силы и моменты в резьбовом соединении. Распределение нагрузки в витках резьбы. Расчет крепежной резьбы.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Расчет одиночных болтов при статических нагрузках. Расчет и конструирование резьбовых соединений, выполненных группой болтов при различных нагружениях соединений.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Шпоночные соединения. Классификация и конструкции соединений. Расчет ненапряженных шпоночных соединений. Особенности расчета и конструирования напряженных шпоночных соединений.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Шлицевые соединения. Классификация. Конструкция соединений, методы центровки. Расчет шлицевых соединений на прочность.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Цилиндрические соединения с натягом. Расчет соединений с натягом.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Механические передачи. Классификация. Основные силовые и кинематические соотношения.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Фрикционные передачи. Классификация. Конструкции материалы и расчет фрикционных колес.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Ременные передачи. Классификация. Конструкции. Расчет по тяговой способности. Силы и напряжения в ремнях, скольжение. Формула Эйлера для нерастяжимой, невесомой нити. Оценка долговечности ременной передачи.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Зубчатые передачи. Классификация. Виды выхода из строя, критерии работоспособности. Материалы и конструкции зубчатых колес.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Инженерный расчет цилиндрических зубчатых передач с эвольвентным профилем на предотвращение усталостного выкрашивания.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Инженерный расчет цилиндрических зубчатых передач с эвольвентным профилем на изгибную выносливость.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Инженерный расчет конических зубчатых передач.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Червячные передачи. Конструкции и материалы. Основные силовые и кинематические соотношения. Критерии расчета червячных передач. Инженерный расчет червячной передачи. Смазка червячных передач. Тепловой расчет червячного редуктора.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 xml:space="preserve">Цепные передачи. Конструкции, область применения. Расчет приводных роликовых цепей. 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Усилия в передачах, дополнительные усилия, действующие на валы. Назначение, конструкции и материалы валов и осей. Критерии работоспособности. Проектный и проверочный расчеты валов и осей на статическую прочность.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Назначение, конструкции и материалы валов и осей. Критерии работоспособности. Расчет валов и осей на жесткость. Расчет валов и осей на сопротивление усталости (уточненный расчет валов).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Подшипники скольжения. Конструирование и расчет подшипников скольжения с полусухим (полужидкостным) трением. Конструирование и расчет подшипников скольжения с жидкостным трением.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Подшипники качения. Конструкции и назначение. Установка, смазка и уплотнение подшипников качения. Инженерный расчет подшипников качения.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Муфты механических приводов. Назначение. Классификация. Конструкции и расчет муфт.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Cs w:val="22"/>
        </w:rPr>
      </w:pPr>
      <w:r>
        <w:rPr>
          <w:color w:val="auto"/>
          <w:szCs w:val="22"/>
        </w:rPr>
        <w:t>Пружины. Назначение, конструкции, материалы. Расчет винтовых цилиндрических пружин из проволоки круглого сечения.</w:t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lang w:val="ru-RU"/>
        </w:rPr>
      </w:pPr>
      <w:r>
        <w:rPr/>
      </w:r>
    </w:p>
    <w:sectPr>
      <w:type w:val="nextPage"/>
      <w:pgSz w:w="11906" w:h="16838"/>
      <w:pgMar w:left="1701" w:right="850" w:header="0" w:top="568" w:footer="0" w:bottom="56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hi-I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Mangal" w:asciiTheme="minorHAnsi" w:cstheme="minorBidi" w:eastAsiaTheme="minorHAnsi" w:hAnsiTheme="minorHAnsi"/>
        <w:sz w:val="22"/>
        <w:lang w:val="ru-RU" w:eastAsia="en-US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f7b86"/>
    <w:pPr>
      <w:widowControl/>
      <w:bidi w:val="0"/>
      <w:spacing w:lineRule="auto" w:line="276" w:before="0" w:after="200"/>
      <w:jc w:val="left"/>
    </w:pPr>
    <w:rPr>
      <w:rFonts w:eastAsia="等线" w:eastAsiaTheme="minorEastAsia" w:ascii="Calibri" w:hAnsi="Calibri" w:cs="Mangal"/>
      <w:color w:val="auto"/>
      <w:kern w:val="0"/>
      <w:sz w:val="22"/>
      <w:szCs w:val="22"/>
      <w:lang w:val="en-US" w:bidi="ar-SA"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6f7b86"/>
    <w:pPr>
      <w:widowControl/>
      <w:bidi w:val="0"/>
      <w:spacing w:lineRule="auto" w:line="240" w:before="0" w:after="0"/>
      <w:jc w:val="left"/>
    </w:pPr>
    <w:rPr>
      <w:rFonts w:ascii="Times New Roman" w:hAnsi="Times New Roman" w:eastAsia="等线" w:cs="Times New Roman" w:eastAsiaTheme="minorEastAsia"/>
      <w:color w:val="000000"/>
      <w:kern w:val="0"/>
      <w:sz w:val="24"/>
      <w:szCs w:val="24"/>
      <w:lang w:bidi="ar-SA" w:val="ru-RU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LibreOffice/7.1.1.2$Windows_X86_64 LibreOffice_project/fe0b08f4af1bacafe4c7ecc87ce55bb426164676</Application>
  <AppVersion>15.0000</AppVersion>
  <Pages>1</Pages>
  <Words>376</Words>
  <Characters>2894</Characters>
  <CharactersWithSpaces>3220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2026-01-07T08:30:00Z</dcterms:created>
  <dc:creator>полина дульгер</dc:creator>
  <dc:description/>
  <dc:language>ru-RU</dc:language>
  <cp:lastModifiedBy>полина дульгер</cp:lastModifiedBy>
  <dcterms:modified xsi:type="dcterms:W3CDTF">2026-01-13T06:09:00Z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