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1F04C5">
      <w:pPr>
        <w:tabs>
          <w:tab w:val="left" w:pos="825"/>
        </w:tabs>
        <w:ind w:right="4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1F7C15" w:rsidRDefault="00A42150" w:rsidP="00A42150">
      <w:pPr>
        <w:jc w:val="center"/>
        <w:rPr>
          <w:b/>
          <w:bCs/>
          <w:sz w:val="44"/>
          <w:szCs w:val="44"/>
        </w:rPr>
      </w:pPr>
      <w:r w:rsidRPr="00A42150">
        <w:rPr>
          <w:b/>
          <w:bCs/>
          <w:sz w:val="44"/>
          <w:szCs w:val="44"/>
        </w:rPr>
        <w:t>Построение линии пересечения поверхностей способом вспомогательных секущих плоскостей</w:t>
      </w:r>
      <w:r>
        <w:rPr>
          <w:color w:val="000000"/>
          <w:sz w:val="19"/>
          <w:szCs w:val="19"/>
        </w:rPr>
        <w:t>.</w:t>
      </w:r>
    </w:p>
    <w:p w:rsidR="001F7C15" w:rsidRDefault="001F7C15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A42150" w:rsidRPr="00B60A0D" w:rsidRDefault="00A42150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E67474" w:rsidRPr="00A42150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28"/>
          <w:szCs w:val="28"/>
        </w:rPr>
      </w:pPr>
      <w:r w:rsidRPr="00A42150">
        <w:rPr>
          <w:sz w:val="28"/>
          <w:szCs w:val="28"/>
        </w:rPr>
        <w:t>МЕТОДИЧЕСКИЕ</w:t>
      </w:r>
      <w:r w:rsidRPr="00A42150">
        <w:rPr>
          <w:spacing w:val="-23"/>
          <w:sz w:val="28"/>
          <w:szCs w:val="28"/>
        </w:rPr>
        <w:t xml:space="preserve"> </w:t>
      </w:r>
      <w:r w:rsidRPr="00A42150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806543" w:rsidRDefault="00806543" w:rsidP="00E67474">
      <w:pPr>
        <w:spacing w:before="368"/>
        <w:ind w:left="139"/>
        <w:jc w:val="center"/>
        <w:rPr>
          <w:sz w:val="32"/>
        </w:rPr>
      </w:pPr>
    </w:p>
    <w:p w:rsidR="008B3AD2" w:rsidRDefault="008B3AD2" w:rsidP="008B3AD2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8B3AD2" w:rsidRDefault="008B3AD2" w:rsidP="008B3AD2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8B3AD2" w:rsidRDefault="008B3AD2" w:rsidP="008B3A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8B3AD2" w:rsidRDefault="008B3AD2" w:rsidP="008B3A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1470A3" w:rsidRDefault="001470A3" w:rsidP="001470A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6F7096" w:rsidRPr="00182888" w:rsidRDefault="006F7096" w:rsidP="006F7096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100D24" w:rsidRDefault="00100D24" w:rsidP="00100D24">
      <w:pPr>
        <w:jc w:val="center"/>
        <w:rPr>
          <w:sz w:val="28"/>
          <w:szCs w:val="28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6A279D" w:rsidRDefault="006A279D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C0185E" w:rsidRDefault="00C0185E" w:rsidP="00E67474">
      <w:pPr>
        <w:ind w:left="147"/>
        <w:jc w:val="center"/>
        <w:rPr>
          <w:spacing w:val="-4"/>
          <w:sz w:val="40"/>
        </w:rPr>
      </w:pPr>
    </w:p>
    <w:p w:rsidR="00834DCB" w:rsidRDefault="00834DCB" w:rsidP="00834DCB">
      <w:pPr>
        <w:pStyle w:val="a3"/>
        <w:spacing w:line="22" w:lineRule="atLeast"/>
        <w:ind w:firstLine="567"/>
        <w:jc w:val="center"/>
        <w:rPr>
          <w:b/>
          <w:bCs/>
        </w:rPr>
      </w:pPr>
      <w:r>
        <w:rPr>
          <w:b/>
          <w:bCs/>
        </w:rPr>
        <w:t>Взаимное пересечение кривых поверхностей.</w:t>
      </w:r>
    </w:p>
    <w:p w:rsidR="00834DCB" w:rsidRDefault="00834DCB" w:rsidP="00834DCB">
      <w:pPr>
        <w:pStyle w:val="a3"/>
        <w:spacing w:line="22" w:lineRule="atLeast"/>
        <w:ind w:firstLine="567"/>
        <w:jc w:val="both"/>
      </w:pPr>
      <w:r>
        <w:t xml:space="preserve">Две кривые поверхности пересекаются по пространственной кривой линии, которая строится по отдельным точкам. Основной метод построения линии пересечения состоит в применении вспомогательных секущих поверхностей – посредников </w:t>
      </w:r>
      <w:r>
        <w:rPr>
          <w:i/>
        </w:rPr>
        <w:t>Ф</w:t>
      </w:r>
      <w:r>
        <w:t>.</w:t>
      </w:r>
    </w:p>
    <w:p w:rsidR="00834DCB" w:rsidRDefault="00834DCB" w:rsidP="00834DCB">
      <w:pPr>
        <w:pStyle w:val="a3"/>
        <w:spacing w:line="22" w:lineRule="atLeast"/>
        <w:ind w:firstLine="567"/>
        <w:jc w:val="both"/>
      </w:pPr>
      <w:r>
        <w:t xml:space="preserve">Поверхности </w:t>
      </w:r>
      <w:r>
        <w:rPr>
          <w:i/>
        </w:rPr>
        <w:t>Ф</w:t>
      </w:r>
      <w:r>
        <w:t xml:space="preserve"> выбираются так, чтобы они пересекали данные поверхности по графически простым линиям (прямым, окружностям). Точки пересечения этих линий и будут принадлежать искомой линии пересечения поверхностей (рис. </w:t>
      </w:r>
      <w:r w:rsidRPr="00277BDB">
        <w:t>68</w:t>
      </w:r>
      <w:r>
        <w:t>).</w:t>
      </w:r>
    </w:p>
    <w:p w:rsidR="00834DCB" w:rsidRDefault="00834DCB" w:rsidP="00834DCB">
      <w:pPr>
        <w:pStyle w:val="a3"/>
        <w:spacing w:line="22" w:lineRule="atLeast"/>
        <w:ind w:firstLine="567"/>
        <w:jc w:val="both"/>
      </w:pPr>
      <w:r>
        <w:t>Пространственный алгоритм состоит из следующих операций:</w:t>
      </w:r>
    </w:p>
    <w:p w:rsidR="00834DCB" w:rsidRDefault="00834DCB" w:rsidP="00834DCB">
      <w:pPr>
        <w:pStyle w:val="a3"/>
        <w:widowControl/>
        <w:numPr>
          <w:ilvl w:val="0"/>
          <w:numId w:val="19"/>
        </w:numPr>
        <w:autoSpaceDE/>
        <w:autoSpaceDN/>
        <w:spacing w:line="22" w:lineRule="atLeast"/>
        <w:ind w:left="0" w:firstLine="567"/>
        <w:jc w:val="both"/>
      </w:pPr>
      <w:r>
        <w:t xml:space="preserve">Выбираем </w:t>
      </w:r>
      <w:r>
        <w:rPr>
          <w:i/>
        </w:rPr>
        <w:t>Ф</w:t>
      </w:r>
    </w:p>
    <w:p w:rsidR="00834DCB" w:rsidRPr="00277BDB" w:rsidRDefault="00834DCB" w:rsidP="00834DCB">
      <w:pPr>
        <w:pStyle w:val="a3"/>
        <w:widowControl/>
        <w:numPr>
          <w:ilvl w:val="0"/>
          <w:numId w:val="19"/>
        </w:numPr>
        <w:autoSpaceDE/>
        <w:autoSpaceDN/>
        <w:spacing w:line="22" w:lineRule="atLeast"/>
        <w:ind w:left="0" w:firstLine="567"/>
        <w:jc w:val="both"/>
        <w:rPr>
          <w:i/>
          <w:lang w:val="en-US"/>
        </w:rPr>
      </w:pPr>
      <w:r>
        <w:rPr>
          <w:i/>
        </w:rPr>
        <w:t>Ф</w:t>
      </w:r>
      <w:r>
        <w:rPr>
          <w:i/>
          <w:lang w:val="en-US"/>
        </w:rPr>
        <w:t xml:space="preserve"> </w:t>
      </w:r>
      <w:r w:rsidRPr="00277BDB">
        <w:rPr>
          <w:i/>
          <w:position w:val="-4"/>
          <w:lang w:val="en-US"/>
        </w:rPr>
        <w:object w:dxaOrig="26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65pt;height:9.65pt" o:ole="">
            <v:imagedata r:id="rId6" o:title=""/>
          </v:shape>
          <o:OLEObject Type="Embed" ProgID="Equation.3" ShapeID="_x0000_i1025" DrawAspect="Content" ObjectID="_1803725952" r:id="rId7"/>
        </w:object>
      </w:r>
      <w:r>
        <w:rPr>
          <w:i/>
          <w:lang w:val="en-US"/>
        </w:rPr>
        <w:t xml:space="preserve"> </w:t>
      </w:r>
      <w:proofErr w:type="spellStart"/>
      <w:r w:rsidRPr="00277BDB">
        <w:rPr>
          <w:i/>
        </w:rPr>
        <w:t>Ф</w:t>
      </w:r>
      <w:proofErr w:type="spellEnd"/>
      <w:r w:rsidRPr="00277BDB">
        <w:rPr>
          <w:i/>
          <w:vertAlign w:val="superscript"/>
          <w:lang w:val="en-US"/>
        </w:rPr>
        <w:t>’</w:t>
      </w:r>
      <w:r w:rsidRPr="00277BDB">
        <w:rPr>
          <w:i/>
          <w:lang w:val="en-US"/>
        </w:rPr>
        <w:t xml:space="preserve"> = </w:t>
      </w:r>
      <w:r>
        <w:rPr>
          <w:i/>
          <w:lang w:val="en-US"/>
        </w:rPr>
        <w:t>l</w:t>
      </w:r>
      <w:r w:rsidRPr="00277BDB">
        <w:rPr>
          <w:i/>
          <w:vertAlign w:val="superscript"/>
          <w:lang w:val="en-US"/>
        </w:rPr>
        <w:t>’</w:t>
      </w:r>
    </w:p>
    <w:p w:rsidR="00834DCB" w:rsidRPr="00277BDB" w:rsidRDefault="00834DCB" w:rsidP="00834DCB">
      <w:pPr>
        <w:pStyle w:val="a3"/>
        <w:widowControl/>
        <w:numPr>
          <w:ilvl w:val="0"/>
          <w:numId w:val="19"/>
        </w:numPr>
        <w:autoSpaceDE/>
        <w:autoSpaceDN/>
        <w:spacing w:line="22" w:lineRule="atLeast"/>
        <w:ind w:left="0" w:firstLine="567"/>
        <w:jc w:val="both"/>
        <w:rPr>
          <w:i/>
          <w:lang w:val="en-US"/>
        </w:rPr>
      </w:pPr>
      <w:r>
        <w:rPr>
          <w:i/>
        </w:rPr>
        <w:t>Ф</w:t>
      </w:r>
      <w:r>
        <w:rPr>
          <w:i/>
          <w:lang w:val="en-US"/>
        </w:rPr>
        <w:t xml:space="preserve"> </w:t>
      </w:r>
      <w:r w:rsidRPr="00277BDB">
        <w:rPr>
          <w:i/>
          <w:position w:val="-4"/>
          <w:lang w:val="en-US"/>
        </w:rPr>
        <w:object w:dxaOrig="260" w:dyaOrig="200">
          <v:shape id="_x0000_i1026" type="#_x0000_t75" style="width:12.65pt;height:9.65pt" o:ole="">
            <v:imagedata r:id="rId6" o:title=""/>
          </v:shape>
          <o:OLEObject Type="Embed" ProgID="Equation.3" ShapeID="_x0000_i1026" DrawAspect="Content" ObjectID="_1803725953" r:id="rId8"/>
        </w:object>
      </w:r>
      <w:r>
        <w:rPr>
          <w:i/>
          <w:lang w:val="en-US"/>
        </w:rPr>
        <w:t xml:space="preserve"> </w:t>
      </w:r>
      <w:proofErr w:type="spellStart"/>
      <w:r w:rsidRPr="00277BDB">
        <w:rPr>
          <w:i/>
        </w:rPr>
        <w:t>Ф</w:t>
      </w:r>
      <w:proofErr w:type="spellEnd"/>
      <w:r>
        <w:rPr>
          <w:i/>
          <w:lang w:val="en-US"/>
        </w:rPr>
        <w:t>” = l</w:t>
      </w:r>
      <w:r w:rsidRPr="00277BDB">
        <w:rPr>
          <w:i/>
          <w:lang w:val="en-US"/>
        </w:rPr>
        <w:t>”</w:t>
      </w:r>
    </w:p>
    <w:p w:rsidR="00834DCB" w:rsidRPr="00277BDB" w:rsidRDefault="00834DCB" w:rsidP="00834DCB">
      <w:pPr>
        <w:pStyle w:val="a3"/>
        <w:widowControl/>
        <w:numPr>
          <w:ilvl w:val="0"/>
          <w:numId w:val="19"/>
        </w:numPr>
        <w:autoSpaceDE/>
        <w:autoSpaceDN/>
        <w:spacing w:line="22" w:lineRule="atLeast"/>
        <w:ind w:left="0" w:firstLine="567"/>
        <w:jc w:val="both"/>
        <w:rPr>
          <w:i/>
          <w:lang w:val="en-US"/>
        </w:rPr>
      </w:pPr>
      <w:r>
        <w:rPr>
          <w:i/>
          <w:lang w:val="en-US"/>
        </w:rPr>
        <w:t>l</w:t>
      </w:r>
      <w:r w:rsidRPr="00277BDB">
        <w:rPr>
          <w:i/>
          <w:lang w:val="en-US"/>
        </w:rPr>
        <w:t>’</w:t>
      </w:r>
      <w:r>
        <w:rPr>
          <w:i/>
          <w:lang w:val="en-US"/>
        </w:rPr>
        <w:t xml:space="preserve"> </w:t>
      </w:r>
      <w:r w:rsidRPr="00277BDB">
        <w:rPr>
          <w:i/>
          <w:position w:val="-4"/>
          <w:lang w:val="en-US"/>
        </w:rPr>
        <w:object w:dxaOrig="260" w:dyaOrig="200">
          <v:shape id="_x0000_i1027" type="#_x0000_t75" style="width:12.65pt;height:9.65pt" o:ole="">
            <v:imagedata r:id="rId6" o:title=""/>
          </v:shape>
          <o:OLEObject Type="Embed" ProgID="Equation.3" ShapeID="_x0000_i1027" DrawAspect="Content" ObjectID="_1803725954" r:id="rId9"/>
        </w:object>
      </w:r>
      <w:r>
        <w:rPr>
          <w:i/>
          <w:lang w:val="en-US"/>
        </w:rPr>
        <w:t xml:space="preserve"> l</w:t>
      </w:r>
      <w:r w:rsidRPr="00277BDB">
        <w:rPr>
          <w:i/>
          <w:lang w:val="en-US"/>
        </w:rPr>
        <w:t>” = I, II</w:t>
      </w:r>
    </w:p>
    <w:p w:rsidR="00834DCB" w:rsidRDefault="00834DCB" w:rsidP="00834DCB">
      <w:pPr>
        <w:pStyle w:val="a3"/>
        <w:widowControl/>
        <w:numPr>
          <w:ilvl w:val="0"/>
          <w:numId w:val="19"/>
        </w:numPr>
        <w:autoSpaceDE/>
        <w:autoSpaceDN/>
        <w:spacing w:line="22" w:lineRule="atLeast"/>
        <w:ind w:left="0" w:firstLine="567"/>
        <w:jc w:val="both"/>
      </w:pPr>
      <w:r w:rsidRPr="00277BDB">
        <w:rPr>
          <w:i/>
          <w:position w:val="-14"/>
        </w:rPr>
        <w:object w:dxaOrig="1120" w:dyaOrig="400">
          <v:shape id="_x0000_i1028" type="#_x0000_t75" style="width:56.35pt;height:20.35pt" o:ole="">
            <v:imagedata r:id="rId10" o:title=""/>
          </v:shape>
          <o:OLEObject Type="Embed" ProgID="Equation.3" ShapeID="_x0000_i1028" DrawAspect="Content" ObjectID="_1803725955" r:id="rId11"/>
        </w:object>
      </w:r>
    </w:p>
    <w:p w:rsidR="00834DCB" w:rsidRPr="009D4136" w:rsidRDefault="00834DCB" w:rsidP="00834DCB">
      <w:pPr>
        <w:pStyle w:val="a3"/>
        <w:spacing w:line="22" w:lineRule="atLeast"/>
        <w:ind w:firstLine="567"/>
        <w:jc w:val="center"/>
        <w:rPr>
          <w:b/>
          <w:bCs/>
        </w:rPr>
      </w:pPr>
      <w:r>
        <w:object w:dxaOrig="7779" w:dyaOrig="3470">
          <v:shape id="_x0000_i1029" type="#_x0000_t75" style="width:273pt;height:129pt" o:ole="" o:allowoverlap="f">
            <v:imagedata r:id="rId12" o:title=""/>
          </v:shape>
          <o:OLEObject Type="Embed" ProgID="KOMPAS.FRW" ShapeID="_x0000_i1029" DrawAspect="Content" ObjectID="_1803725956" r:id="rId13"/>
        </w:object>
      </w:r>
    </w:p>
    <w:p w:rsidR="00834DCB" w:rsidRDefault="00834DCB" w:rsidP="00834DCB">
      <w:pPr>
        <w:pStyle w:val="a3"/>
        <w:spacing w:line="22" w:lineRule="atLeast"/>
        <w:ind w:firstLine="567"/>
        <w:jc w:val="center"/>
        <w:rPr>
          <w:bCs/>
        </w:rPr>
      </w:pPr>
      <w:r>
        <w:rPr>
          <w:bCs/>
        </w:rPr>
        <w:t>Рис.</w:t>
      </w:r>
      <w:r w:rsidRPr="008F1110">
        <w:rPr>
          <w:bCs/>
        </w:rPr>
        <w:t xml:space="preserve"> 68</w:t>
      </w:r>
    </w:p>
    <w:p w:rsidR="00834DCB" w:rsidRPr="0087791F" w:rsidRDefault="00834DCB" w:rsidP="00834DCB">
      <w:pPr>
        <w:pStyle w:val="a3"/>
        <w:spacing w:line="22" w:lineRule="atLeast"/>
        <w:ind w:firstLine="567"/>
        <w:jc w:val="center"/>
        <w:rPr>
          <w:bCs/>
          <w:sz w:val="16"/>
          <w:szCs w:val="16"/>
        </w:rPr>
      </w:pPr>
    </w:p>
    <w:p w:rsidR="00834DCB" w:rsidRDefault="00834DCB" w:rsidP="00834DCB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834DCB" w:rsidRDefault="00834DCB" w:rsidP="00834DCB">
      <w:pPr>
        <w:pStyle w:val="a3"/>
        <w:spacing w:line="22" w:lineRule="atLeast"/>
        <w:ind w:firstLine="567"/>
        <w:jc w:val="center"/>
        <w:rPr>
          <w:b/>
          <w:bCs/>
        </w:rPr>
      </w:pPr>
      <w:r>
        <w:rPr>
          <w:b/>
          <w:bCs/>
        </w:rPr>
        <w:t>7.8.1. Способ вспомогательных секущих плоскостей.</w:t>
      </w:r>
    </w:p>
    <w:p w:rsidR="00834DCB" w:rsidRDefault="00834DCB" w:rsidP="00834DCB">
      <w:pPr>
        <w:pStyle w:val="a3"/>
        <w:spacing w:line="22" w:lineRule="atLeast"/>
        <w:ind w:firstLine="567"/>
        <w:jc w:val="both"/>
        <w:rPr>
          <w:b/>
          <w:bCs/>
        </w:rPr>
      </w:pPr>
      <w:r>
        <w:t>Метод вспомогательных секущих плоскостей применяется для построения линии пересечения двух поверхностей вращения с параллельными или скрещивающимися осями, для построения линии пересечения кривой поверхности и многогранников, двух конических или цилиндрических поверхностей общего вида</w:t>
      </w:r>
      <w:r>
        <w:rPr>
          <w:b/>
          <w:bCs/>
        </w:rPr>
        <w:t>.</w:t>
      </w:r>
    </w:p>
    <w:p w:rsidR="00834DCB" w:rsidRDefault="00834DCB" w:rsidP="00834DCB">
      <w:pPr>
        <w:pStyle w:val="a3"/>
        <w:spacing w:line="22" w:lineRule="atLeast"/>
        <w:ind w:firstLine="567"/>
        <w:jc w:val="both"/>
      </w:pPr>
      <w:r>
        <w:t>Построим линию пересечения конуса вращения и сферы (рис. 69).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0"/>
        <w:gridCol w:w="4665"/>
      </w:tblGrid>
      <w:tr w:rsidR="00834DCB" w:rsidRPr="00B66387" w:rsidTr="005251FE">
        <w:trPr>
          <w:trHeight w:val="570"/>
        </w:trPr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34DCB" w:rsidRDefault="00834DCB" w:rsidP="005251FE">
            <w:pPr>
              <w:pStyle w:val="a3"/>
              <w:spacing w:line="22" w:lineRule="atLeast"/>
              <w:ind w:left="1"/>
              <w:jc w:val="both"/>
            </w:pPr>
            <w:r>
              <w:object w:dxaOrig="5457" w:dyaOrig="8368">
                <v:shape id="_x0000_i1030" type="#_x0000_t75" style="width:209.35pt;height:327.35pt" o:ole="">
                  <v:imagedata r:id="rId14" o:title=""/>
                </v:shape>
                <o:OLEObject Type="Embed" ProgID="KOMPAS.FRW" ShapeID="_x0000_i1030" DrawAspect="Content" ObjectID="_1803725957" r:id="rId15"/>
              </w:object>
            </w:r>
          </w:p>
          <w:p w:rsidR="00834DCB" w:rsidRPr="00B66387" w:rsidRDefault="00834DCB" w:rsidP="005251FE">
            <w:pPr>
              <w:pStyle w:val="a3"/>
              <w:spacing w:line="22" w:lineRule="atLeast"/>
              <w:ind w:firstLine="567"/>
              <w:jc w:val="center"/>
              <w:rPr>
                <w:bCs/>
              </w:rPr>
            </w:pPr>
            <w:r w:rsidRPr="0087791F">
              <w:rPr>
                <w:bCs/>
              </w:rPr>
              <w:t>Рис. 69</w:t>
            </w:r>
          </w:p>
        </w:tc>
        <w:tc>
          <w:tcPr>
            <w:tcW w:w="5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34DCB" w:rsidRDefault="00834DCB" w:rsidP="005251FE">
            <w:pPr>
              <w:pStyle w:val="a3"/>
              <w:spacing w:line="22" w:lineRule="atLeast"/>
              <w:ind w:left="1" w:firstLine="567"/>
              <w:jc w:val="both"/>
            </w:pPr>
            <w:r>
              <w:t xml:space="preserve">Построение линии пересечения начинаем с нахождения опорных точек. Экстремальные (высшая и низшая) точки </w:t>
            </w:r>
            <w:r w:rsidRPr="002F1322">
              <w:rPr>
                <w:i/>
                <w:lang w:val="en-US"/>
              </w:rPr>
              <w:t>I</w:t>
            </w:r>
            <w:r>
              <w:t xml:space="preserve">, </w:t>
            </w:r>
            <w:r w:rsidRPr="002F1322">
              <w:rPr>
                <w:i/>
                <w:lang w:val="en-US"/>
              </w:rPr>
              <w:t>II</w:t>
            </w:r>
            <w:r>
              <w:t xml:space="preserve"> определяются проведением общей плоскости симметрии </w:t>
            </w:r>
            <w:r>
              <w:rPr>
                <w:i/>
              </w:rPr>
              <w:t>Δ</w:t>
            </w:r>
            <w:r>
              <w:t xml:space="preserve">. Точками видимости на </w:t>
            </w:r>
            <w:r w:rsidRPr="002F1322">
              <w:rPr>
                <w:i/>
              </w:rPr>
              <w:t>П</w:t>
            </w:r>
            <w:r w:rsidRPr="002F1322">
              <w:rPr>
                <w:i/>
                <w:vertAlign w:val="subscript"/>
              </w:rPr>
              <w:t>2</w:t>
            </w:r>
            <w:r w:rsidRPr="002F1322">
              <w:rPr>
                <w:i/>
              </w:rPr>
              <w:t xml:space="preserve"> </w:t>
            </w:r>
            <w:r>
              <w:t xml:space="preserve">будут эти же точки. Для нахождения точек видимости на </w:t>
            </w:r>
            <w:r w:rsidRPr="002F1322">
              <w:rPr>
                <w:i/>
              </w:rPr>
              <w:t>П</w:t>
            </w:r>
            <w:r w:rsidRPr="002F1322">
              <w:rPr>
                <w:i/>
                <w:vertAlign w:val="subscript"/>
              </w:rPr>
              <w:t>1</w:t>
            </w:r>
            <w:r>
              <w:t xml:space="preserve"> проводим вспомогательную горизон-тальную плоскость уровня через центр сферы. Плоскость </w:t>
            </w:r>
            <w:r w:rsidRPr="006311C2">
              <w:rPr>
                <w:i/>
              </w:rPr>
              <w:t xml:space="preserve">Σ </w:t>
            </w:r>
            <w:r>
              <w:t xml:space="preserve">пересечет сферу по экватору, проекция которого на </w:t>
            </w:r>
            <w:r w:rsidRPr="002F1322">
              <w:rPr>
                <w:i/>
              </w:rPr>
              <w:t>П</w:t>
            </w:r>
            <w:r w:rsidRPr="002F1322">
              <w:rPr>
                <w:i/>
                <w:vertAlign w:val="subscript"/>
              </w:rPr>
              <w:t>1</w:t>
            </w:r>
            <w:r w:rsidRPr="002F1322">
              <w:rPr>
                <w:i/>
              </w:rPr>
              <w:t xml:space="preserve"> </w:t>
            </w:r>
            <w:r>
              <w:t xml:space="preserve">будет очерковой, а конус – по окружности. Точки пересечения этих окружностей определят точки видимости на </w:t>
            </w:r>
            <w:r w:rsidRPr="002F1322">
              <w:rPr>
                <w:i/>
              </w:rPr>
              <w:t>П</w:t>
            </w:r>
            <w:r w:rsidRPr="002F1322">
              <w:rPr>
                <w:i/>
                <w:vertAlign w:val="subscript"/>
              </w:rPr>
              <w:t>1</w:t>
            </w:r>
            <w:r>
              <w:t>.</w:t>
            </w:r>
          </w:p>
        </w:tc>
      </w:tr>
    </w:tbl>
    <w:p w:rsidR="00834DCB" w:rsidRDefault="00834DCB" w:rsidP="00834DCB">
      <w:pPr>
        <w:pStyle w:val="a3"/>
        <w:spacing w:line="22" w:lineRule="atLeast"/>
        <w:ind w:firstLine="567"/>
        <w:jc w:val="both"/>
      </w:pPr>
      <w:r>
        <w:t xml:space="preserve">Промежуточные точки линии пересечения определяются проведением горизонтальных плоскостей уровня </w:t>
      </w:r>
      <w:r w:rsidRPr="006311C2">
        <w:rPr>
          <w:i/>
        </w:rPr>
        <w:t>Γ</w:t>
      </w:r>
      <w:r>
        <w:t xml:space="preserve">. Они пересекают обе заданные поверхности по окружностям, точки пересечения которых и будут искомыми. Итак, взяв как угодно много плоскостей, получим как угодно много точек, которые определят характер кривой линии пересечения. На </w:t>
      </w:r>
      <w:r w:rsidRPr="002F1322">
        <w:rPr>
          <w:i/>
        </w:rPr>
        <w:t>П</w:t>
      </w:r>
      <w:r w:rsidRPr="002F1322">
        <w:rPr>
          <w:i/>
          <w:vertAlign w:val="subscript"/>
        </w:rPr>
        <w:t>1</w:t>
      </w:r>
      <w:r w:rsidRPr="002F1322">
        <w:rPr>
          <w:i/>
        </w:rPr>
        <w:t xml:space="preserve"> </w:t>
      </w:r>
      <w:r>
        <w:t xml:space="preserve">проекция дуги </w:t>
      </w:r>
      <w:r w:rsidRPr="002F1322">
        <w:rPr>
          <w:i/>
        </w:rPr>
        <w:t>С</w:t>
      </w:r>
      <w:r w:rsidRPr="002F1322">
        <w:rPr>
          <w:i/>
          <w:vertAlign w:val="subscript"/>
        </w:rPr>
        <w:t>2</w:t>
      </w:r>
      <w:r w:rsidRPr="002F1322">
        <w:rPr>
          <w:i/>
        </w:rPr>
        <w:t>А</w:t>
      </w:r>
      <w:r w:rsidRPr="002F1322">
        <w:rPr>
          <w:i/>
          <w:vertAlign w:val="subscript"/>
        </w:rPr>
        <w:t>2</w:t>
      </w:r>
      <w:r w:rsidRPr="002F1322">
        <w:rPr>
          <w:i/>
          <w:lang w:val="en-US"/>
        </w:rPr>
        <w:t>D</w:t>
      </w:r>
      <w:r w:rsidRPr="002F1322">
        <w:rPr>
          <w:i/>
          <w:vertAlign w:val="subscript"/>
        </w:rPr>
        <w:t>2</w:t>
      </w:r>
      <w:r>
        <w:t xml:space="preserve"> линии пересечения видимая, а проекция дуги </w:t>
      </w:r>
      <w:r w:rsidRPr="002F1322">
        <w:rPr>
          <w:i/>
          <w:lang w:val="en-US"/>
        </w:rPr>
        <w:t>C</w:t>
      </w:r>
      <w:r w:rsidRPr="002F1322">
        <w:rPr>
          <w:i/>
          <w:vertAlign w:val="subscript"/>
        </w:rPr>
        <w:t>2</w:t>
      </w:r>
      <w:r w:rsidRPr="002F1322">
        <w:rPr>
          <w:i/>
        </w:rPr>
        <w:t>В</w:t>
      </w:r>
      <w:r w:rsidRPr="002F1322">
        <w:rPr>
          <w:i/>
          <w:vertAlign w:val="subscript"/>
        </w:rPr>
        <w:t>2</w:t>
      </w:r>
      <w:r w:rsidRPr="002F1322">
        <w:rPr>
          <w:i/>
          <w:lang w:val="en-US"/>
        </w:rPr>
        <w:t>D</w:t>
      </w:r>
      <w:r w:rsidRPr="002F1322">
        <w:rPr>
          <w:i/>
          <w:vertAlign w:val="subscript"/>
        </w:rPr>
        <w:t>2</w:t>
      </w:r>
      <w:r>
        <w:t xml:space="preserve"> невидимая. На </w:t>
      </w:r>
      <w:r w:rsidRPr="002F1322">
        <w:rPr>
          <w:i/>
        </w:rPr>
        <w:t>П</w:t>
      </w:r>
      <w:r w:rsidRPr="002F1322">
        <w:rPr>
          <w:i/>
          <w:vertAlign w:val="subscript"/>
        </w:rPr>
        <w:t>2</w:t>
      </w:r>
      <w:r>
        <w:t xml:space="preserve"> видимая и невидимая ветви проекции линии пересечения совпадают, так как общая плоскость симметрии данных поверхностей параллельна </w:t>
      </w:r>
      <w:r w:rsidRPr="002F1322">
        <w:rPr>
          <w:i/>
        </w:rPr>
        <w:t>П</w:t>
      </w:r>
      <w:r w:rsidRPr="002F1322">
        <w:rPr>
          <w:i/>
          <w:vertAlign w:val="subscript"/>
        </w:rPr>
        <w:t>2</w:t>
      </w:r>
      <w:r>
        <w:t>.</w:t>
      </w:r>
    </w:p>
    <w:p w:rsidR="00F058E6" w:rsidRDefault="00F058E6" w:rsidP="00F058E6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F058E6" w:rsidRPr="004C147F" w:rsidRDefault="00F058E6" w:rsidP="00F058E6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F058E6" w:rsidRPr="00296442" w:rsidRDefault="00F058E6" w:rsidP="00F058E6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  <w:t xml:space="preserve">Харах М.М. Учебно-методический комплекс по дисциплине «Начертательная геометрия» / М.М. Харах; Астрахан. гос, техн. ун-т. – Астрахань: Изд-во АГТУ, 2010.- 232с.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F058E6" w:rsidRPr="00296442" w:rsidRDefault="00F058E6" w:rsidP="00F058E6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r w:rsidRPr="00296442">
        <w:rPr>
          <w:sz w:val="24"/>
          <w:szCs w:val="24"/>
        </w:rPr>
        <w:t xml:space="preserve"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 — Режим доступа: </w:t>
      </w:r>
      <w:hyperlink r:id="rId16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F058E6" w:rsidRPr="00296442" w:rsidRDefault="00F058E6" w:rsidP="00F058E6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 xml:space="preserve"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с. — Режим доступа: </w:t>
      </w:r>
      <w:hyperlink r:id="rId17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F058E6" w:rsidRDefault="00F058E6" w:rsidP="00F058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Электрон. дан. — Пенза</w:t>
      </w:r>
      <w:r w:rsidRPr="00296442">
        <w:rPr>
          <w:sz w:val="24"/>
          <w:szCs w:val="24"/>
        </w:rPr>
        <w:t xml:space="preserve">: ПензГТУ, 2012. — 142 с. — Режим доступа: </w:t>
      </w:r>
      <w:hyperlink r:id="rId18" w:history="1">
        <w:r w:rsidRPr="00296442">
          <w:rPr>
            <w:sz w:val="24"/>
            <w:szCs w:val="24"/>
          </w:rPr>
          <w:t>https://e.lanbook.com/book/62606</w:t>
        </w:r>
      </w:hyperlink>
      <w:r w:rsidRPr="00296442">
        <w:rPr>
          <w:sz w:val="24"/>
          <w:szCs w:val="24"/>
        </w:rPr>
        <w:t>.</w:t>
      </w:r>
    </w:p>
    <w:p w:rsidR="00232340" w:rsidRDefault="00232340" w:rsidP="00232340">
      <w:pPr>
        <w:ind w:left="147"/>
        <w:jc w:val="center"/>
        <w:rPr>
          <w:spacing w:val="-4"/>
          <w:sz w:val="40"/>
        </w:rPr>
      </w:pPr>
    </w:p>
    <w:sectPr w:rsidR="00232340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C81D01"/>
    <w:multiLevelType w:val="hybridMultilevel"/>
    <w:tmpl w:val="913AC51E"/>
    <w:lvl w:ilvl="0" w:tplc="BB289F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B95799"/>
    <w:multiLevelType w:val="hybridMultilevel"/>
    <w:tmpl w:val="0882DD6C"/>
    <w:lvl w:ilvl="0" w:tplc="F72CFD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437FE7"/>
    <w:multiLevelType w:val="hybridMultilevel"/>
    <w:tmpl w:val="39A62876"/>
    <w:lvl w:ilvl="0" w:tplc="5A26D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61696B"/>
    <w:multiLevelType w:val="hybridMultilevel"/>
    <w:tmpl w:val="F3A485F6"/>
    <w:lvl w:ilvl="0" w:tplc="9EFC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964029"/>
    <w:multiLevelType w:val="hybridMultilevel"/>
    <w:tmpl w:val="306E48F8"/>
    <w:lvl w:ilvl="0" w:tplc="4A260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C22993"/>
    <w:multiLevelType w:val="hybridMultilevel"/>
    <w:tmpl w:val="A80AFA44"/>
    <w:lvl w:ilvl="0" w:tplc="384AB76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7E932478"/>
    <w:multiLevelType w:val="hybridMultilevel"/>
    <w:tmpl w:val="6B4221FA"/>
    <w:lvl w:ilvl="0" w:tplc="CF2A3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14"/>
  </w:num>
  <w:num w:numId="5">
    <w:abstractNumId w:val="2"/>
  </w:num>
  <w:num w:numId="6">
    <w:abstractNumId w:val="0"/>
  </w:num>
  <w:num w:numId="7">
    <w:abstractNumId w:val="11"/>
  </w:num>
  <w:num w:numId="8">
    <w:abstractNumId w:val="18"/>
  </w:num>
  <w:num w:numId="9">
    <w:abstractNumId w:val="13"/>
  </w:num>
  <w:num w:numId="10">
    <w:abstractNumId w:val="16"/>
  </w:num>
  <w:num w:numId="11">
    <w:abstractNumId w:val="15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8"/>
  </w:num>
  <w:num w:numId="17">
    <w:abstractNumId w:val="10"/>
  </w:num>
  <w:num w:numId="18">
    <w:abstractNumId w:val="17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100D24"/>
    <w:rsid w:val="001470A3"/>
    <w:rsid w:val="001F04C5"/>
    <w:rsid w:val="001F7C15"/>
    <w:rsid w:val="00232340"/>
    <w:rsid w:val="00277B69"/>
    <w:rsid w:val="0028053B"/>
    <w:rsid w:val="00520062"/>
    <w:rsid w:val="0053007A"/>
    <w:rsid w:val="005925B8"/>
    <w:rsid w:val="005B7DD9"/>
    <w:rsid w:val="005C2473"/>
    <w:rsid w:val="00617529"/>
    <w:rsid w:val="006A279D"/>
    <w:rsid w:val="006F7096"/>
    <w:rsid w:val="008059C0"/>
    <w:rsid w:val="00806543"/>
    <w:rsid w:val="00834DCB"/>
    <w:rsid w:val="008B3AD2"/>
    <w:rsid w:val="009768D8"/>
    <w:rsid w:val="00A42150"/>
    <w:rsid w:val="00B233D7"/>
    <w:rsid w:val="00B60A0D"/>
    <w:rsid w:val="00C0185E"/>
    <w:rsid w:val="00C971F6"/>
    <w:rsid w:val="00D35BB0"/>
    <w:rsid w:val="00E67474"/>
    <w:rsid w:val="00F058E6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hyperlink" Target="https://e.lanbook.com/book/62606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hyperlink" Target="https://e.lanbook.com/book/631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6265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image" Target="media/image1.png"/><Relationship Id="rId15" Type="http://schemas.openxmlformats.org/officeDocument/2006/relationships/oleObject" Target="embeddings/oleObject6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2025-03-16T06:54:00Z</dcterms:created>
  <dcterms:modified xsi:type="dcterms:W3CDTF">2025-03-17T10:08:00Z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