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E07" w:rsidRPr="000D79C9" w:rsidRDefault="00D96E07" w:rsidP="00D96E07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  <w:r w:rsidRPr="00943762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8CF881F" wp14:editId="1CA5CCCE">
            <wp:simplePos x="0" y="0"/>
            <wp:positionH relativeFrom="column">
              <wp:posOffset>-352425</wp:posOffset>
            </wp:positionH>
            <wp:positionV relativeFrom="paragraph">
              <wp:posOffset>-80010</wp:posOffset>
            </wp:positionV>
            <wp:extent cx="1055370" cy="1013460"/>
            <wp:effectExtent l="19050" t="0" r="0" b="0"/>
            <wp:wrapNone/>
            <wp:docPr id="1" name="Рисунок 1" descr="лого АГТУ для документов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АГТУ для документов 20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6E07" w:rsidRPr="000D79C9" w:rsidRDefault="00D96E07" w:rsidP="00D96E07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  <w:t>Федеральное агентство по рыболовству</w:t>
      </w:r>
    </w:p>
    <w:p w:rsidR="00D96E07" w:rsidRPr="000D79C9" w:rsidRDefault="00D96E07" w:rsidP="00D96E07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 xml:space="preserve">Федеральное государственное бюджетное образовательное </w:t>
      </w:r>
    </w:p>
    <w:p w:rsidR="00D96E07" w:rsidRPr="000D79C9" w:rsidRDefault="00D96E07" w:rsidP="00D96E07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учреждение высшего образования</w:t>
      </w:r>
    </w:p>
    <w:p w:rsidR="00D96E07" w:rsidRPr="000D79C9" w:rsidRDefault="00D96E07" w:rsidP="00D96E07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«Астраханский государственный технический университет»</w:t>
      </w:r>
    </w:p>
    <w:p w:rsidR="00D96E07" w:rsidRPr="00B959FC" w:rsidRDefault="00D96E07" w:rsidP="00D96E07">
      <w:pPr>
        <w:spacing w:after="0" w:line="240" w:lineRule="auto"/>
        <w:jc w:val="center"/>
        <w:rPr>
          <w:b/>
          <w:bCs/>
          <w:sz w:val="12"/>
          <w:szCs w:val="12"/>
          <w:lang w:val="ru-RU"/>
        </w:rPr>
      </w:pPr>
      <w:r>
        <w:rPr>
          <w:b/>
          <w:bCs/>
          <w:sz w:val="12"/>
          <w:szCs w:val="12"/>
          <w:lang w:val="ru-RU"/>
        </w:rPr>
        <w:t xml:space="preserve">                                                              </w:t>
      </w:r>
      <w:r w:rsidRPr="00B959FC">
        <w:rPr>
          <w:b/>
          <w:bCs/>
          <w:sz w:val="12"/>
          <w:szCs w:val="12"/>
          <w:lang w:val="ru-RU"/>
        </w:rPr>
        <w:t>Система менеджмента качества в области образования, воспитания, науки и инноваций сертифицирована</w:t>
      </w:r>
    </w:p>
    <w:p w:rsidR="00D96E07" w:rsidRPr="00B959FC" w:rsidRDefault="00D96E07" w:rsidP="00D96E07">
      <w:pPr>
        <w:jc w:val="center"/>
        <w:rPr>
          <w:b/>
          <w:i/>
          <w:sz w:val="26"/>
          <w:lang w:val="ru-RU"/>
        </w:rPr>
      </w:pPr>
      <w:r>
        <w:rPr>
          <w:b/>
          <w:bCs/>
          <w:sz w:val="12"/>
          <w:szCs w:val="12"/>
          <w:lang w:val="ru-RU"/>
        </w:rPr>
        <w:t xml:space="preserve">                                  </w:t>
      </w:r>
      <w:r w:rsidRPr="00B959FC">
        <w:rPr>
          <w:b/>
          <w:bCs/>
          <w:sz w:val="12"/>
          <w:szCs w:val="12"/>
          <w:lang w:val="ru-RU"/>
        </w:rPr>
        <w:t xml:space="preserve">ООО «ДКС РУС» по международному стандарту </w:t>
      </w:r>
      <w:r w:rsidRPr="001A3FC7">
        <w:rPr>
          <w:b/>
          <w:bCs/>
          <w:sz w:val="12"/>
          <w:szCs w:val="12"/>
        </w:rPr>
        <w:t>ISO</w:t>
      </w:r>
      <w:r w:rsidRPr="00B959FC">
        <w:rPr>
          <w:b/>
          <w:bCs/>
          <w:sz w:val="12"/>
          <w:szCs w:val="12"/>
          <w:lang w:val="ru-RU"/>
        </w:rPr>
        <w:t xml:space="preserve"> 9001:2015</w:t>
      </w:r>
    </w:p>
    <w:p w:rsidR="00D96E07" w:rsidRDefault="00D96E07" w:rsidP="00D96E0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96E07" w:rsidRPr="0066598A" w:rsidRDefault="00D96E07" w:rsidP="00D96E07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Институт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морских технологий, энергетики и транспорта</w:t>
      </w:r>
    </w:p>
    <w:p w:rsidR="00D96E07" w:rsidRPr="0066598A" w:rsidRDefault="00D96E07" w:rsidP="00D96E07">
      <w:pPr>
        <w:ind w:left="5670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УТВЕРЖДАЮ</w:t>
      </w:r>
    </w:p>
    <w:p w:rsidR="00D96E07" w:rsidRDefault="00D96E07" w:rsidP="00D96E07">
      <w:pPr>
        <w:spacing w:after="0" w:line="240" w:lineRule="auto"/>
        <w:ind w:left="496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института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Cs w:val="24"/>
          <w:lang w:val="ru-RU"/>
        </w:rPr>
        <w:t>морских технологий,</w:t>
      </w:r>
    </w:p>
    <w:p w:rsidR="00D96E07" w:rsidRDefault="00D96E07" w:rsidP="00D96E07">
      <w:pPr>
        <w:ind w:left="496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энергетики и транспорта </w:t>
      </w:r>
    </w:p>
    <w:p w:rsidR="00D96E07" w:rsidRPr="0066598A" w:rsidRDefault="00D96E07" w:rsidP="00D96E07">
      <w:pPr>
        <w:ind w:left="4962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 xml:space="preserve">.н., </w:t>
      </w:r>
      <w:r>
        <w:rPr>
          <w:rFonts w:ascii="Times New Roman" w:hAnsi="Times New Roman" w:cs="Times New Roman"/>
          <w:sz w:val="24"/>
          <w:szCs w:val="24"/>
          <w:lang w:val="ru-RU"/>
        </w:rPr>
        <w:t>доцент</w:t>
      </w:r>
    </w:p>
    <w:p w:rsidR="00D96E07" w:rsidRPr="00C25339" w:rsidRDefault="00D96E07" w:rsidP="00D96E0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                                  </w:t>
      </w:r>
      <w:r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66598A"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  <w:t>_______________________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А.Р. Рубан</w:t>
      </w:r>
    </w:p>
    <w:p w:rsidR="00D96E07" w:rsidRPr="0066598A" w:rsidRDefault="00D96E07" w:rsidP="00D96E07">
      <w:p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«___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_»_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_____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_____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</w:p>
    <w:p w:rsidR="003B441E" w:rsidRPr="008007C0" w:rsidRDefault="003B441E">
      <w:pPr>
        <w:rPr>
          <w:lang w:val="ru-RU"/>
        </w:rPr>
      </w:pPr>
    </w:p>
    <w:p w:rsidR="00D96E07" w:rsidRPr="008007C0" w:rsidRDefault="00D96E07">
      <w:pPr>
        <w:rPr>
          <w:lang w:val="ru-RU"/>
        </w:rPr>
      </w:pPr>
    </w:p>
    <w:p w:rsidR="00D96E07" w:rsidRPr="008007C0" w:rsidRDefault="00D96E07">
      <w:pPr>
        <w:rPr>
          <w:lang w:val="ru-RU"/>
        </w:rPr>
      </w:pPr>
    </w:p>
    <w:p w:rsidR="00D96E07" w:rsidRPr="008007C0" w:rsidRDefault="00D96E07">
      <w:pPr>
        <w:rPr>
          <w:lang w:val="ru-RU"/>
        </w:rPr>
      </w:pPr>
    </w:p>
    <w:p w:rsidR="00D96E07" w:rsidRPr="008007C0" w:rsidRDefault="00D96E07">
      <w:pPr>
        <w:rPr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Лабораторная работа №</w:t>
      </w:r>
      <w:r w:rsidR="004A09C8"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:rsidR="00D96E07" w:rsidRDefault="004A09C8" w:rsidP="004A09C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A09C8">
        <w:rPr>
          <w:rFonts w:ascii="Times New Roman" w:hAnsi="Times New Roman" w:cs="Times New Roman"/>
          <w:sz w:val="28"/>
          <w:szCs w:val="28"/>
          <w:lang w:val="ru-RU"/>
        </w:rPr>
        <w:t>Определение нормальных напряжений при плоском изгибе консольной балки</w:t>
      </w: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2125" w:rsidRDefault="00852125" w:rsidP="00852125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lastRenderedPageBreak/>
        <w:t>Цель работы – определить опытным путем прогибы и углы поворота сечений </w:t>
      </w:r>
      <w:hyperlink r:id="rId6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балки</w:t>
        </w:r>
      </w:hyperlink>
      <w:r>
        <w:rPr>
          <w:rFonts w:ascii="Arial" w:hAnsi="Arial" w:cs="Arial"/>
          <w:color w:val="2B2B2B"/>
          <w:sz w:val="26"/>
          <w:szCs w:val="26"/>
        </w:rPr>
        <w:t> и сравнить их с теоретическими значениями.</w:t>
      </w:r>
    </w:p>
    <w:p w:rsidR="00852125" w:rsidRDefault="00852125" w:rsidP="00852125">
      <w:pPr>
        <w:pStyle w:val="2"/>
        <w:spacing w:before="540" w:beforeAutospacing="0" w:after="180" w:afterAutospacing="0"/>
        <w:jc w:val="both"/>
        <w:textAlignment w:val="baseline"/>
        <w:rPr>
          <w:rFonts w:ascii="Arial" w:hAnsi="Arial" w:cs="Arial"/>
          <w:b w:val="0"/>
          <w:bCs w:val="0"/>
          <w:color w:val="2B2B2B"/>
        </w:rPr>
      </w:pPr>
      <w:r>
        <w:rPr>
          <w:rFonts w:ascii="Arial" w:hAnsi="Arial" w:cs="Arial"/>
          <w:b w:val="0"/>
          <w:bCs w:val="0"/>
          <w:color w:val="2B2B2B"/>
        </w:rPr>
        <w:t>Основные сведения</w:t>
      </w:r>
    </w:p>
    <w:p w:rsidR="00852125" w:rsidRDefault="00852125" w:rsidP="00852125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Под действием </w:t>
      </w:r>
      <w:hyperlink r:id="rId7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внешних нагрузок</w:t>
        </w:r>
      </w:hyperlink>
      <w:r>
        <w:rPr>
          <w:rFonts w:ascii="Arial" w:hAnsi="Arial" w:cs="Arial"/>
          <w:color w:val="2B2B2B"/>
          <w:sz w:val="26"/>
          <w:szCs w:val="26"/>
        </w:rPr>
        <w:t>, расположенных в одной из главных плоскостей балки, ось балки искривляется в той же плоскости, в результате чего </w:t>
      </w:r>
      <w:hyperlink r:id="rId8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центры тяжести</w:t>
        </w:r>
      </w:hyperlink>
      <w:r>
        <w:rPr>
          <w:rFonts w:ascii="Arial" w:hAnsi="Arial" w:cs="Arial"/>
          <w:color w:val="2B2B2B"/>
          <w:sz w:val="26"/>
          <w:szCs w:val="26"/>
        </w:rPr>
        <w:t> </w:t>
      </w:r>
      <w:hyperlink r:id="rId9" w:tooltip="Поперечное сечение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поперечных сечений</w:t>
        </w:r>
      </w:hyperlink>
      <w:r>
        <w:rPr>
          <w:rFonts w:ascii="Arial" w:hAnsi="Arial" w:cs="Arial"/>
          <w:color w:val="2B2B2B"/>
          <w:sz w:val="26"/>
          <w:szCs w:val="26"/>
        </w:rPr>
        <w:t> перемещаются в направлении, перпендикулярном первоначальному (недеформированному) положению.</w:t>
      </w:r>
    </w:p>
    <w:p w:rsidR="00852125" w:rsidRDefault="00852125" w:rsidP="00852125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Согласно </w:t>
      </w:r>
      <w:hyperlink r:id="rId10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принятым допущениям</w:t>
        </w:r>
      </w:hyperlink>
      <w:r>
        <w:rPr>
          <w:rFonts w:ascii="Arial" w:hAnsi="Arial" w:cs="Arial"/>
          <w:color w:val="2B2B2B"/>
          <w:sz w:val="26"/>
          <w:szCs w:val="26"/>
        </w:rPr>
        <w:t> в </w:t>
      </w:r>
      <w:hyperlink r:id="rId11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теории плоского изгиба</w:t>
        </w:r>
      </w:hyperlink>
      <w:r>
        <w:rPr>
          <w:rFonts w:ascii="Arial" w:hAnsi="Arial" w:cs="Arial"/>
          <w:color w:val="2B2B2B"/>
          <w:sz w:val="26"/>
          <w:szCs w:val="26"/>
        </w:rPr>
        <w:t> </w:t>
      </w:r>
      <w:hyperlink r:id="rId12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деформация</w:t>
        </w:r>
      </w:hyperlink>
      <w:r>
        <w:rPr>
          <w:rFonts w:ascii="Arial" w:hAnsi="Arial" w:cs="Arial"/>
          <w:color w:val="2B2B2B"/>
          <w:sz w:val="26"/>
          <w:szCs w:val="26"/>
        </w:rPr>
        <w:t> балки характеризуется двумя параметрами: вертикальным прогибом </w:t>
      </w:r>
      <w:r>
        <w:rPr>
          <w:rFonts w:ascii="Arial" w:hAnsi="Arial" w:cs="Arial"/>
          <w:b/>
          <w:bCs/>
          <w:color w:val="2B2B2B"/>
          <w:sz w:val="26"/>
          <w:szCs w:val="26"/>
        </w:rPr>
        <w:t>y</w:t>
      </w:r>
      <w:r>
        <w:rPr>
          <w:rFonts w:ascii="Arial" w:hAnsi="Arial" w:cs="Arial"/>
          <w:color w:val="2B2B2B"/>
          <w:sz w:val="26"/>
          <w:szCs w:val="26"/>
        </w:rPr>
        <w:t> и углом поворота </w:t>
      </w:r>
      <w:r>
        <w:rPr>
          <w:rFonts w:ascii="Arial" w:hAnsi="Arial" w:cs="Arial"/>
          <w:b/>
          <w:bCs/>
          <w:color w:val="2B2B2B"/>
          <w:sz w:val="26"/>
          <w:szCs w:val="26"/>
        </w:rPr>
        <w:t>θ</w:t>
      </w:r>
      <w:r>
        <w:rPr>
          <w:rFonts w:ascii="Arial" w:hAnsi="Arial" w:cs="Arial"/>
          <w:color w:val="2B2B2B"/>
          <w:sz w:val="26"/>
          <w:szCs w:val="26"/>
        </w:rPr>
        <w:t>. Угловые и линейные перемещения определяются аналитически путем интегрирования дифференциального уравнения изогнутой оси балки:</w:t>
      </w:r>
    </w:p>
    <w:p w:rsidR="00852125" w:rsidRDefault="00852125" w:rsidP="00852125">
      <w:pPr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proofErr w:type="spellStart"/>
      <w:r>
        <w:rPr>
          <w:rFonts w:ascii="Arial" w:hAnsi="Arial" w:cs="Arial"/>
          <w:color w:val="2B2B2B"/>
          <w:sz w:val="26"/>
          <w:szCs w:val="26"/>
        </w:rPr>
        <w:t>EIу</w:t>
      </w:r>
      <w:proofErr w:type="spellEnd"/>
      <w:r>
        <w:rPr>
          <w:rFonts w:ascii="Arial" w:hAnsi="Arial" w:cs="Arial"/>
          <w:color w:val="2B2B2B"/>
          <w:sz w:val="26"/>
          <w:szCs w:val="26"/>
        </w:rPr>
        <w:t>» = М</w:t>
      </w:r>
      <w:r>
        <w:rPr>
          <w:rFonts w:ascii="inherit" w:hAnsi="inherit" w:cs="Arial"/>
          <w:color w:val="2B2B2B"/>
          <w:sz w:val="26"/>
          <w:szCs w:val="26"/>
          <w:bdr w:val="none" w:sz="0" w:space="0" w:color="auto" w:frame="1"/>
        </w:rPr>
        <w:tab/>
      </w:r>
      <w:r>
        <w:rPr>
          <w:rFonts w:ascii="inherit" w:hAnsi="inherit" w:cs="Arial"/>
          <w:color w:val="2B2B2B"/>
          <w:sz w:val="26"/>
          <w:szCs w:val="26"/>
          <w:bdr w:val="none" w:sz="0" w:space="0" w:color="auto" w:frame="1"/>
        </w:rPr>
        <w:tab/>
        <w:t xml:space="preserve">              </w:t>
      </w:r>
      <w:r>
        <w:rPr>
          <w:rFonts w:ascii="inherit" w:hAnsi="inherit" w:cs="Arial"/>
          <w:color w:val="2B2B2B"/>
          <w:sz w:val="26"/>
          <w:szCs w:val="26"/>
          <w:bdr w:val="none" w:sz="0" w:space="0" w:color="auto" w:frame="1"/>
        </w:rPr>
        <w:tab/>
      </w:r>
      <w:r>
        <w:rPr>
          <w:rFonts w:ascii="Arial" w:hAnsi="Arial" w:cs="Arial"/>
          <w:color w:val="2B2B2B"/>
          <w:sz w:val="26"/>
          <w:szCs w:val="26"/>
        </w:rPr>
        <w:t>(9.1)</w:t>
      </w:r>
    </w:p>
    <w:p w:rsidR="00852125" w:rsidRDefault="00852125" w:rsidP="00852125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где EI – изгибная жесткость балки;</w:t>
      </w:r>
      <w:r>
        <w:rPr>
          <w:rFonts w:ascii="Arial" w:hAnsi="Arial" w:cs="Arial"/>
          <w:color w:val="2B2B2B"/>
          <w:sz w:val="26"/>
          <w:szCs w:val="26"/>
        </w:rPr>
        <w:br/>
        <w:t>М – </w:t>
      </w:r>
      <w:hyperlink r:id="rId13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изгибающий момент</w:t>
        </w:r>
      </w:hyperlink>
      <w:r>
        <w:rPr>
          <w:rFonts w:ascii="Arial" w:hAnsi="Arial" w:cs="Arial"/>
          <w:color w:val="2B2B2B"/>
          <w:sz w:val="26"/>
          <w:szCs w:val="26"/>
        </w:rPr>
        <w:t> в поперечном сечении балки;</w:t>
      </w:r>
      <w:r>
        <w:rPr>
          <w:rFonts w:ascii="Arial" w:hAnsi="Arial" w:cs="Arial"/>
          <w:color w:val="2B2B2B"/>
          <w:sz w:val="26"/>
          <w:szCs w:val="26"/>
        </w:rPr>
        <w:br/>
        <w:t>у» – кривизна в рассматриваемом сечении балки (у – прогиб или вертикальные перемещения точек оси балки).</w:t>
      </w:r>
    </w:p>
    <w:p w:rsidR="00852125" w:rsidRDefault="00852125" w:rsidP="00852125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Могут использоваться и другие методы: </w:t>
      </w:r>
      <w:hyperlink r:id="rId14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универсальные уравнения метода начальных параметров</w:t>
        </w:r>
      </w:hyperlink>
      <w:r>
        <w:rPr>
          <w:rFonts w:ascii="Arial" w:hAnsi="Arial" w:cs="Arial"/>
          <w:color w:val="2B2B2B"/>
          <w:sz w:val="26"/>
          <w:szCs w:val="26"/>
        </w:rPr>
        <w:t>, энергетические методы (интеграл Мора, способ Верещагина) и др.</w:t>
      </w:r>
    </w:p>
    <w:p w:rsidR="00852125" w:rsidRDefault="00852125" w:rsidP="00852125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Для опытного определения линейных и угловых перемещений используется настольная установка – </w:t>
      </w:r>
      <w:proofErr w:type="spellStart"/>
      <w:r>
        <w:rPr>
          <w:rFonts w:ascii="Arial" w:hAnsi="Arial" w:cs="Arial"/>
          <w:color w:val="2B2B2B"/>
          <w:sz w:val="26"/>
          <w:szCs w:val="26"/>
        </w:rPr>
        <w:fldChar w:fldCharType="begin"/>
      </w:r>
      <w:r>
        <w:rPr>
          <w:rFonts w:ascii="Arial" w:hAnsi="Arial" w:cs="Arial"/>
          <w:color w:val="2B2B2B"/>
          <w:sz w:val="26"/>
          <w:szCs w:val="26"/>
        </w:rPr>
        <w:instrText xml:space="preserve"> HYPERLINK "https://isopromat.ru/glossary/balka/dvuhopornaya" </w:instrText>
      </w:r>
      <w:r>
        <w:rPr>
          <w:rFonts w:ascii="Arial" w:hAnsi="Arial" w:cs="Arial"/>
          <w:color w:val="2B2B2B"/>
          <w:sz w:val="26"/>
          <w:szCs w:val="26"/>
        </w:rPr>
        <w:fldChar w:fldCharType="separate"/>
      </w:r>
      <w:r>
        <w:rPr>
          <w:rStyle w:val="a4"/>
          <w:rFonts w:ascii="inherit" w:hAnsi="inherit" w:cs="Arial"/>
          <w:color w:val="24890D"/>
          <w:sz w:val="26"/>
          <w:szCs w:val="26"/>
          <w:bdr w:val="none" w:sz="0" w:space="0" w:color="auto" w:frame="1"/>
        </w:rPr>
        <w:t>двухопорная</w:t>
      </w:r>
      <w:proofErr w:type="spellEnd"/>
      <w:r>
        <w:rPr>
          <w:rStyle w:val="a4"/>
          <w:rFonts w:ascii="inherit" w:hAnsi="inherit" w:cs="Arial"/>
          <w:color w:val="24890D"/>
          <w:sz w:val="26"/>
          <w:szCs w:val="26"/>
          <w:bdr w:val="none" w:sz="0" w:space="0" w:color="auto" w:frame="1"/>
        </w:rPr>
        <w:t xml:space="preserve"> балка</w:t>
      </w:r>
      <w:r>
        <w:rPr>
          <w:rFonts w:ascii="Arial" w:hAnsi="Arial" w:cs="Arial"/>
          <w:color w:val="2B2B2B"/>
          <w:sz w:val="26"/>
          <w:szCs w:val="26"/>
        </w:rPr>
        <w:fldChar w:fldCharType="end"/>
      </w:r>
      <w:r>
        <w:rPr>
          <w:rFonts w:ascii="Arial" w:hAnsi="Arial" w:cs="Arial"/>
          <w:color w:val="2B2B2B"/>
          <w:sz w:val="26"/>
          <w:szCs w:val="26"/>
        </w:rPr>
        <w:t> типа СМ-4 (рис. 9.1). Установка представляет собой балку, изготовленную из стальной полосы 7х40 мм, опирающуюся на две </w:t>
      </w:r>
      <w:hyperlink r:id="rId15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шарнирные опоры</w:t>
        </w:r>
      </w:hyperlink>
      <w:r>
        <w:rPr>
          <w:rFonts w:ascii="Arial" w:hAnsi="Arial" w:cs="Arial"/>
          <w:color w:val="2B2B2B"/>
          <w:sz w:val="26"/>
          <w:szCs w:val="26"/>
        </w:rPr>
        <w:t>.</w:t>
      </w:r>
    </w:p>
    <w:p w:rsidR="00852125" w:rsidRDefault="00852125" w:rsidP="00852125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Конструкция установки позволяет изменять длину </w:t>
      </w:r>
      <w:hyperlink r:id="rId16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пролета</w:t>
        </w:r>
      </w:hyperlink>
      <w:r>
        <w:rPr>
          <w:rFonts w:ascii="Arial" w:hAnsi="Arial" w:cs="Arial"/>
          <w:color w:val="2B2B2B"/>
          <w:sz w:val="26"/>
          <w:szCs w:val="26"/>
        </w:rPr>
        <w:t xml:space="preserve">, точку приложения нагрузки и ее величину, а также получать </w:t>
      </w:r>
      <w:proofErr w:type="spellStart"/>
      <w:r>
        <w:rPr>
          <w:rFonts w:ascii="Arial" w:hAnsi="Arial" w:cs="Arial"/>
          <w:color w:val="2B2B2B"/>
          <w:sz w:val="26"/>
          <w:szCs w:val="26"/>
        </w:rPr>
        <w:t>двухопорную</w:t>
      </w:r>
      <w:proofErr w:type="spellEnd"/>
      <w:r>
        <w:rPr>
          <w:rFonts w:ascii="Arial" w:hAnsi="Arial" w:cs="Arial"/>
          <w:color w:val="2B2B2B"/>
          <w:sz w:val="26"/>
          <w:szCs w:val="26"/>
        </w:rPr>
        <w:t> </w:t>
      </w:r>
      <w:hyperlink r:id="rId17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консольную балку</w:t>
        </w:r>
      </w:hyperlink>
      <w:r>
        <w:rPr>
          <w:rFonts w:ascii="Arial" w:hAnsi="Arial" w:cs="Arial"/>
          <w:color w:val="2B2B2B"/>
          <w:sz w:val="26"/>
          <w:szCs w:val="26"/>
        </w:rPr>
        <w:t xml:space="preserve">. </w:t>
      </w:r>
      <w:proofErr w:type="spellStart"/>
      <w:r>
        <w:rPr>
          <w:rFonts w:ascii="Arial" w:hAnsi="Arial" w:cs="Arial"/>
          <w:color w:val="2B2B2B"/>
          <w:sz w:val="26"/>
          <w:szCs w:val="26"/>
        </w:rPr>
        <w:t>Нагружение</w:t>
      </w:r>
      <w:proofErr w:type="spellEnd"/>
      <w:r>
        <w:rPr>
          <w:rFonts w:ascii="Arial" w:hAnsi="Arial" w:cs="Arial"/>
          <w:color w:val="2B2B2B"/>
          <w:sz w:val="26"/>
          <w:szCs w:val="26"/>
        </w:rPr>
        <w:t xml:space="preserve"> исследуемого образца осуществляется с помощью гиревого подвеса и набора грузов. Нагрузка прикладывается сосредоточенно.</w:t>
      </w:r>
    </w:p>
    <w:p w:rsidR="00852125" w:rsidRDefault="00852125" w:rsidP="00852125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Измерение прогибов и углов поворота опорных сечений балки производится с помощью </w:t>
      </w:r>
      <w:hyperlink r:id="rId18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индикаторов линейных перемещений часового типа</w:t>
        </w:r>
      </w:hyperlink>
      <w:r>
        <w:rPr>
          <w:rFonts w:ascii="Arial" w:hAnsi="Arial" w:cs="Arial"/>
          <w:color w:val="2B2B2B"/>
          <w:sz w:val="26"/>
          <w:szCs w:val="26"/>
        </w:rPr>
        <w:t> с ценой деления 0,01 мм.</w:t>
      </w:r>
    </w:p>
    <w:p w:rsidR="00852125" w:rsidRDefault="00852125" w:rsidP="00852125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 xml:space="preserve">Для измерения угла поворота опорных сечений в конструкции шарнирной опоры установки предусмотрен рычаг (стержень) длиной </w:t>
      </w:r>
      <w:proofErr w:type="spellStart"/>
      <w:r>
        <w:rPr>
          <w:rFonts w:ascii="Arial" w:hAnsi="Arial" w:cs="Arial"/>
          <w:color w:val="2B2B2B"/>
          <w:sz w:val="26"/>
          <w:szCs w:val="26"/>
        </w:rPr>
        <w:t>l</w:t>
      </w:r>
      <w:r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</w:rPr>
        <w:t>с</w:t>
      </w:r>
      <w:proofErr w:type="spellEnd"/>
      <w:r>
        <w:rPr>
          <w:rFonts w:ascii="Arial" w:hAnsi="Arial" w:cs="Arial"/>
          <w:color w:val="2B2B2B"/>
          <w:sz w:val="26"/>
          <w:szCs w:val="26"/>
        </w:rPr>
        <w:t> = 150 мм, закрепленный перпендикулярно к оси балки и поворачивающийся вместе с сечением балки в результате ее деформации.</w:t>
      </w:r>
    </w:p>
    <w:p w:rsidR="00852125" w:rsidRDefault="00852125" w:rsidP="00852125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При этом свободный конец рычага описывает дугу (радиуса l</w:t>
      </w:r>
      <w:r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</w:rPr>
        <w:t>0</w:t>
      </w:r>
      <w:r>
        <w:rPr>
          <w:rFonts w:ascii="Arial" w:hAnsi="Arial" w:cs="Arial"/>
          <w:color w:val="2B2B2B"/>
          <w:sz w:val="26"/>
          <w:szCs w:val="26"/>
        </w:rPr>
        <w:t>), длину которой и замеряет индикатор линейных перемещений, закрепленный на стойке опорного устройства и упирающийся штифтом в свободный конец рычага.</w:t>
      </w:r>
    </w:p>
    <w:p w:rsidR="00852125" w:rsidRDefault="00852125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314950" cy="41814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125" w:rsidRDefault="00852125" w:rsidP="00852125">
      <w:pPr>
        <w:pStyle w:val="2"/>
        <w:spacing w:before="540" w:beforeAutospacing="0" w:after="180" w:afterAutospacing="0"/>
        <w:jc w:val="both"/>
        <w:textAlignment w:val="baseline"/>
        <w:rPr>
          <w:rFonts w:ascii="Arial" w:hAnsi="Arial" w:cs="Arial"/>
          <w:b w:val="0"/>
          <w:bCs w:val="0"/>
          <w:color w:val="2B2B2B"/>
        </w:rPr>
      </w:pPr>
      <w:r>
        <w:rPr>
          <w:rFonts w:ascii="Arial" w:hAnsi="Arial" w:cs="Arial"/>
          <w:b w:val="0"/>
          <w:bCs w:val="0"/>
          <w:color w:val="2B2B2B"/>
        </w:rPr>
        <w:t>Порядок выполнения и обработка результатов</w:t>
      </w:r>
    </w:p>
    <w:p w:rsidR="00852125" w:rsidRDefault="00852125" w:rsidP="00852125">
      <w:pPr>
        <w:pStyle w:val="a3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Определение величины прогибов и углов поворота спорных сечений производится в следующей последовательности.</w:t>
      </w:r>
    </w:p>
    <w:p w:rsidR="00852125" w:rsidRDefault="00852125" w:rsidP="00852125">
      <w:pPr>
        <w:pStyle w:val="a3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 xml:space="preserve">Установка заранее подготавливается лаборантом (рис. </w:t>
      </w:r>
      <w:proofErr w:type="gramStart"/>
      <w:r>
        <w:rPr>
          <w:rFonts w:ascii="Arial" w:hAnsi="Arial" w:cs="Arial"/>
          <w:color w:val="2B2B2B"/>
          <w:sz w:val="26"/>
          <w:szCs w:val="26"/>
        </w:rPr>
        <w:t>9.2,б</w:t>
      </w:r>
      <w:proofErr w:type="gramEnd"/>
      <w:r>
        <w:rPr>
          <w:rFonts w:ascii="Arial" w:hAnsi="Arial" w:cs="Arial"/>
          <w:color w:val="2B2B2B"/>
          <w:sz w:val="26"/>
          <w:szCs w:val="26"/>
        </w:rPr>
        <w:t>) для выполнения на ней опыта по заданной схеме погружения балки (рис. 9.2.а).</w:t>
      </w:r>
    </w:p>
    <w:p w:rsidR="00852125" w:rsidRDefault="00852125" w:rsidP="00852125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Для заданной </w:t>
      </w:r>
      <w:hyperlink r:id="rId20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расчетной схемы</w:t>
        </w:r>
      </w:hyperlink>
      <w:r>
        <w:rPr>
          <w:rFonts w:ascii="Arial" w:hAnsi="Arial" w:cs="Arial"/>
          <w:color w:val="2B2B2B"/>
          <w:sz w:val="26"/>
          <w:szCs w:val="26"/>
        </w:rPr>
        <w:t> в сечениях установки индикаторов производим подсчет перемещении любым из известных методов (т.е. находим два вертикальных перемещения у</w:t>
      </w:r>
      <w:r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</w:rPr>
        <w:t>1Т</w:t>
      </w:r>
      <w:r>
        <w:rPr>
          <w:rFonts w:ascii="Arial" w:hAnsi="Arial" w:cs="Arial"/>
          <w:color w:val="2B2B2B"/>
          <w:sz w:val="26"/>
          <w:szCs w:val="26"/>
        </w:rPr>
        <w:t> и у</w:t>
      </w:r>
      <w:r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</w:rPr>
        <w:t>2Т</w:t>
      </w:r>
      <w:r>
        <w:rPr>
          <w:rFonts w:ascii="Arial" w:hAnsi="Arial" w:cs="Arial"/>
          <w:color w:val="2B2B2B"/>
          <w:sz w:val="26"/>
          <w:szCs w:val="26"/>
        </w:rPr>
        <w:t> и два угловых перемещения в опорах </w:t>
      </w:r>
      <w:proofErr w:type="spellStart"/>
      <w:r>
        <w:rPr>
          <w:color w:val="2B2B2B"/>
          <w:sz w:val="36"/>
          <w:szCs w:val="36"/>
          <w:bdr w:val="none" w:sz="0" w:space="0" w:color="auto" w:frame="1"/>
        </w:rPr>
        <w:t>θ</w:t>
      </w:r>
      <w:r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</w:rPr>
        <w:t>СТ</w:t>
      </w:r>
      <w:proofErr w:type="spellEnd"/>
      <w:r>
        <w:rPr>
          <w:rFonts w:ascii="Arial" w:hAnsi="Arial" w:cs="Arial"/>
          <w:color w:val="2B2B2B"/>
          <w:sz w:val="26"/>
          <w:szCs w:val="26"/>
        </w:rPr>
        <w:t>, </w:t>
      </w:r>
      <w:proofErr w:type="spellStart"/>
      <w:r>
        <w:rPr>
          <w:color w:val="2B2B2B"/>
          <w:sz w:val="36"/>
          <w:szCs w:val="36"/>
          <w:bdr w:val="none" w:sz="0" w:space="0" w:color="auto" w:frame="1"/>
        </w:rPr>
        <w:t>θ</w:t>
      </w:r>
      <w:r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</w:rPr>
        <w:t>KТ</w:t>
      </w:r>
      <w:proofErr w:type="spellEnd"/>
      <w:r>
        <w:rPr>
          <w:rFonts w:ascii="Arial" w:hAnsi="Arial" w:cs="Arial"/>
          <w:color w:val="2B2B2B"/>
          <w:sz w:val="26"/>
          <w:szCs w:val="26"/>
        </w:rPr>
        <w:t>). Расчеты линейных и угловых перемещений могут быть выполнены на ЭВМ.</w:t>
      </w:r>
    </w:p>
    <w:p w:rsidR="00852125" w:rsidRDefault="00852125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4171950" cy="28098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125" w:rsidRDefault="00852125" w:rsidP="00852125">
      <w:pPr>
        <w:pStyle w:val="a3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Затем приступаем к опытному определению этих же перемещений, для чего снимаем начальные показания со всех индикаторов и данные записываем в журнал.</w:t>
      </w:r>
    </w:p>
    <w:p w:rsidR="00852125" w:rsidRDefault="00852125" w:rsidP="00852125">
      <w:pPr>
        <w:pStyle w:val="a3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Устанавливаем на гиревой подвес гирю весом, соответствующим заданной нагрузке F (например, 10 Н), и снимаем новые показания со всех индикаторов, записав их в журнал и подсчитав приращения.</w:t>
      </w:r>
    </w:p>
    <w:p w:rsidR="00852125" w:rsidRDefault="00852125" w:rsidP="00852125">
      <w:pPr>
        <w:pStyle w:val="a3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Последовательно догружаем балку 2-3 раза дополнительными гирями того же веса, при этом общая нагрузка на гиревой подвес не должна превышать 60 Н.</w:t>
      </w:r>
    </w:p>
    <w:p w:rsidR="00852125" w:rsidRDefault="00852125" w:rsidP="00852125">
      <w:pPr>
        <w:pStyle w:val="a3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 xml:space="preserve">После каждого </w:t>
      </w:r>
      <w:proofErr w:type="spellStart"/>
      <w:r>
        <w:rPr>
          <w:rFonts w:ascii="Arial" w:hAnsi="Arial" w:cs="Arial"/>
          <w:color w:val="2B2B2B"/>
          <w:sz w:val="26"/>
          <w:szCs w:val="26"/>
        </w:rPr>
        <w:t>нагружения</w:t>
      </w:r>
      <w:proofErr w:type="spellEnd"/>
      <w:r>
        <w:rPr>
          <w:rFonts w:ascii="Arial" w:hAnsi="Arial" w:cs="Arial"/>
          <w:color w:val="2B2B2B"/>
          <w:sz w:val="26"/>
          <w:szCs w:val="26"/>
        </w:rPr>
        <w:t xml:space="preserve"> записываем в журнал наблюдений показания индикаторов и подсчитываем приращения.</w:t>
      </w:r>
    </w:p>
    <w:p w:rsidR="00852125" w:rsidRDefault="00852125" w:rsidP="00852125">
      <w:pPr>
        <w:pStyle w:val="a3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По окончании опыта балку разгружаем и сравниваем показания индикаторов с первоначальным.</w:t>
      </w:r>
    </w:p>
    <w:p w:rsidR="00852125" w:rsidRDefault="00852125" w:rsidP="00852125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Для подсчета опытных значений вертикальных перемещений в сечениях 1 и 2 балки подсчитываем средние арифметические приращения по каждому индикатору, замеряющему вертикальные перемещения — ΔП</w:t>
      </w:r>
      <w:r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</w:rPr>
        <w:t>СР</w:t>
      </w:r>
      <w:r>
        <w:rPr>
          <w:rFonts w:ascii="Arial" w:hAnsi="Arial" w:cs="Arial"/>
          <w:color w:val="2B2B2B"/>
          <w:sz w:val="26"/>
          <w:szCs w:val="26"/>
        </w:rPr>
        <w:t>, которые и будут соответственно у</w:t>
      </w:r>
      <w:r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</w:rPr>
        <w:t>1ОП</w:t>
      </w:r>
      <w:r>
        <w:rPr>
          <w:rFonts w:ascii="Arial" w:hAnsi="Arial" w:cs="Arial"/>
          <w:color w:val="2B2B2B"/>
          <w:sz w:val="26"/>
          <w:szCs w:val="26"/>
        </w:rPr>
        <w:t> = ΔП</w:t>
      </w:r>
      <w:r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</w:rPr>
        <w:t>1СР</w:t>
      </w:r>
      <w:r>
        <w:rPr>
          <w:rFonts w:ascii="Arial" w:hAnsi="Arial" w:cs="Arial"/>
          <w:color w:val="2B2B2B"/>
          <w:sz w:val="26"/>
          <w:szCs w:val="26"/>
        </w:rPr>
        <w:t> и у</w:t>
      </w:r>
      <w:r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</w:rPr>
        <w:t>2ОП</w:t>
      </w:r>
      <w:r>
        <w:rPr>
          <w:rFonts w:ascii="Arial" w:hAnsi="Arial" w:cs="Arial"/>
          <w:color w:val="2B2B2B"/>
          <w:sz w:val="26"/>
          <w:szCs w:val="26"/>
        </w:rPr>
        <w:t> = ΔП</w:t>
      </w:r>
      <w:r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</w:rPr>
        <w:t>2СР</w:t>
      </w:r>
      <w:r>
        <w:rPr>
          <w:rFonts w:ascii="Arial" w:hAnsi="Arial" w:cs="Arial"/>
          <w:color w:val="2B2B2B"/>
          <w:sz w:val="26"/>
          <w:szCs w:val="26"/>
        </w:rPr>
        <w:t> в единицах измерения шкалы индикаторов.</w:t>
      </w:r>
    </w:p>
    <w:p w:rsidR="00852125" w:rsidRDefault="00852125" w:rsidP="00852125">
      <w:pPr>
        <w:pStyle w:val="a3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Величина углов поворота определяется по формуле</w:t>
      </w:r>
    </w:p>
    <w:p w:rsidR="00852125" w:rsidRPr="00852125" w:rsidRDefault="00852125" w:rsidP="00852125">
      <w:pPr>
        <w:jc w:val="center"/>
        <w:textAlignment w:val="baseline"/>
        <w:rPr>
          <w:rFonts w:ascii="Arial" w:hAnsi="Arial" w:cs="Arial"/>
          <w:color w:val="2B2B2B"/>
          <w:sz w:val="26"/>
          <w:szCs w:val="26"/>
          <w:lang w:val="ru-RU"/>
        </w:rPr>
      </w:pPr>
      <w:proofErr w:type="spellStart"/>
      <w:r>
        <w:rPr>
          <w:color w:val="2B2B2B"/>
          <w:sz w:val="36"/>
          <w:szCs w:val="36"/>
          <w:bdr w:val="none" w:sz="0" w:space="0" w:color="auto" w:frame="1"/>
        </w:rPr>
        <w:t>θ</w:t>
      </w:r>
      <w:r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</w:rPr>
        <w:t>i</w:t>
      </w:r>
      <w:proofErr w:type="spellEnd"/>
      <w:r>
        <w:rPr>
          <w:rFonts w:ascii="Arial" w:hAnsi="Arial" w:cs="Arial"/>
          <w:color w:val="2B2B2B"/>
          <w:sz w:val="26"/>
          <w:szCs w:val="26"/>
        </w:rPr>
        <w:t> </w:t>
      </w:r>
      <w:r w:rsidRPr="00852125">
        <w:rPr>
          <w:rFonts w:ascii="Arial" w:hAnsi="Arial" w:cs="Arial"/>
          <w:color w:val="2B2B2B"/>
          <w:sz w:val="26"/>
          <w:szCs w:val="26"/>
          <w:lang w:val="ru-RU"/>
        </w:rPr>
        <w:t xml:space="preserve">= </w:t>
      </w:r>
      <w:r>
        <w:rPr>
          <w:rFonts w:ascii="Arial" w:hAnsi="Arial" w:cs="Arial"/>
          <w:color w:val="2B2B2B"/>
          <w:sz w:val="26"/>
          <w:szCs w:val="26"/>
        </w:rPr>
        <w:t>Δ</w:t>
      </w:r>
      <w:bookmarkStart w:id="0" w:name="_GoBack"/>
      <w:bookmarkEnd w:id="0"/>
      <w:r w:rsidRPr="00852125">
        <w:rPr>
          <w:rFonts w:ascii="Arial" w:hAnsi="Arial" w:cs="Arial"/>
          <w:color w:val="2B2B2B"/>
          <w:sz w:val="26"/>
          <w:szCs w:val="26"/>
          <w:lang w:val="ru-RU"/>
        </w:rPr>
        <w:t>П</w:t>
      </w:r>
      <w:proofErr w:type="spellStart"/>
      <w:r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</w:rPr>
        <w:t>i</w:t>
      </w:r>
      <w:proofErr w:type="spellEnd"/>
      <w:r w:rsidRPr="00852125"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  <w:lang w:val="ru-RU"/>
        </w:rPr>
        <w:t>СР</w:t>
      </w:r>
      <w:r w:rsidRPr="00852125">
        <w:rPr>
          <w:rFonts w:ascii="Arial" w:hAnsi="Arial" w:cs="Arial"/>
          <w:color w:val="2B2B2B"/>
          <w:sz w:val="26"/>
          <w:szCs w:val="26"/>
          <w:lang w:val="ru-RU"/>
        </w:rPr>
        <w:t xml:space="preserve">/ </w:t>
      </w:r>
      <w:r>
        <w:rPr>
          <w:rFonts w:ascii="Arial" w:hAnsi="Arial" w:cs="Arial"/>
          <w:color w:val="2B2B2B"/>
          <w:sz w:val="26"/>
          <w:szCs w:val="26"/>
        </w:rPr>
        <w:t>l</w:t>
      </w:r>
      <w:proofErr w:type="gramStart"/>
      <w:r w:rsidRPr="00852125"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  <w:lang w:val="ru-RU"/>
        </w:rPr>
        <w:t>С</w:t>
      </w:r>
      <w:r>
        <w:rPr>
          <w:rFonts w:ascii="Arial" w:hAnsi="Arial" w:cs="Arial"/>
          <w:color w:val="2B2B2B"/>
          <w:sz w:val="26"/>
          <w:szCs w:val="26"/>
        </w:rPr>
        <w:t> </w:t>
      </w:r>
      <w:r w:rsidRPr="00852125">
        <w:rPr>
          <w:rFonts w:ascii="Arial" w:hAnsi="Arial" w:cs="Arial"/>
          <w:color w:val="2B2B2B"/>
          <w:sz w:val="26"/>
          <w:szCs w:val="26"/>
          <w:lang w:val="ru-RU"/>
        </w:rPr>
        <w:t>,</w:t>
      </w:r>
      <w:proofErr w:type="gramEnd"/>
    </w:p>
    <w:p w:rsidR="00852125" w:rsidRDefault="00852125" w:rsidP="00852125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 xml:space="preserve">где </w:t>
      </w:r>
      <w:proofErr w:type="spellStart"/>
      <w:r>
        <w:rPr>
          <w:rFonts w:ascii="Arial" w:hAnsi="Arial" w:cs="Arial"/>
          <w:color w:val="2B2B2B"/>
          <w:sz w:val="26"/>
          <w:szCs w:val="26"/>
        </w:rPr>
        <w:t>ΔП</w:t>
      </w:r>
      <w:r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</w:rPr>
        <w:t>iСР</w:t>
      </w:r>
      <w:proofErr w:type="spellEnd"/>
      <w:r>
        <w:rPr>
          <w:rFonts w:ascii="Arial" w:hAnsi="Arial" w:cs="Arial"/>
          <w:color w:val="2B2B2B"/>
          <w:sz w:val="26"/>
          <w:szCs w:val="26"/>
        </w:rPr>
        <w:t> – средние арифметические приращения отсчетов индикаторов, измеряющих длину дуги поворотов опорных сечений;</w:t>
      </w:r>
      <w:r>
        <w:rPr>
          <w:rFonts w:ascii="Arial" w:hAnsi="Arial" w:cs="Arial"/>
          <w:color w:val="2B2B2B"/>
          <w:sz w:val="26"/>
          <w:szCs w:val="26"/>
        </w:rPr>
        <w:br/>
      </w:r>
      <w:proofErr w:type="spellStart"/>
      <w:r>
        <w:rPr>
          <w:rFonts w:ascii="Arial" w:hAnsi="Arial" w:cs="Arial"/>
          <w:color w:val="2B2B2B"/>
          <w:sz w:val="26"/>
          <w:szCs w:val="26"/>
        </w:rPr>
        <w:t>l</w:t>
      </w:r>
      <w:r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</w:rPr>
        <w:t>С</w:t>
      </w:r>
      <w:proofErr w:type="spellEnd"/>
      <w:r>
        <w:rPr>
          <w:rFonts w:ascii="Arial" w:hAnsi="Arial" w:cs="Arial"/>
          <w:color w:val="2B2B2B"/>
          <w:sz w:val="26"/>
          <w:szCs w:val="26"/>
        </w:rPr>
        <w:t> = 150 мм – расчетная длина рычага (радиус дуги).</w:t>
      </w:r>
    </w:p>
    <w:p w:rsidR="00852125" w:rsidRDefault="00852125" w:rsidP="00852125">
      <w:pPr>
        <w:pStyle w:val="a3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lastRenderedPageBreak/>
        <w:t>Сравнение опытных результатов с теоретическими производим по формулам</w:t>
      </w:r>
    </w:p>
    <w:p w:rsidR="00852125" w:rsidRDefault="00852125" w:rsidP="00852125">
      <w:pPr>
        <w:jc w:val="center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noProof/>
          <w:color w:val="2B2B2B"/>
          <w:sz w:val="26"/>
          <w:szCs w:val="26"/>
          <w:lang w:val="ru-RU" w:eastAsia="ru-RU"/>
        </w:rPr>
        <w:drawing>
          <wp:inline distT="0" distB="0" distL="0" distR="0">
            <wp:extent cx="3028950" cy="485775"/>
            <wp:effectExtent l="0" t="0" r="0" b="9525"/>
            <wp:docPr id="10" name="Рисунок 10" descr="https://isopromat.ru/wp-content/uploads/is-6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sopromat.ru/wp-content/uploads/is-631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125" w:rsidRDefault="00852125" w:rsidP="00852125">
      <w:pPr>
        <w:pStyle w:val="a3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Полученные данные заносятся в журнал и делаются соответствующие выводы.</w:t>
      </w:r>
    </w:p>
    <w:p w:rsidR="00852125" w:rsidRDefault="00852125" w:rsidP="00852125">
      <w:pPr>
        <w:pStyle w:val="2"/>
        <w:spacing w:before="540" w:beforeAutospacing="0" w:after="180" w:afterAutospacing="0"/>
        <w:jc w:val="both"/>
        <w:textAlignment w:val="baseline"/>
        <w:rPr>
          <w:rFonts w:ascii="Arial" w:hAnsi="Arial" w:cs="Arial"/>
          <w:b w:val="0"/>
          <w:bCs w:val="0"/>
          <w:color w:val="2B2B2B"/>
        </w:rPr>
      </w:pPr>
      <w:r>
        <w:rPr>
          <w:rFonts w:ascii="Arial" w:hAnsi="Arial" w:cs="Arial"/>
          <w:b w:val="0"/>
          <w:bCs w:val="0"/>
          <w:color w:val="2B2B2B"/>
        </w:rPr>
        <w:t>Контрольные вопросы</w:t>
      </w:r>
    </w:p>
    <w:p w:rsidR="00852125" w:rsidRPr="00852125" w:rsidRDefault="00852125" w:rsidP="00852125">
      <w:pPr>
        <w:numPr>
          <w:ilvl w:val="0"/>
          <w:numId w:val="6"/>
        </w:numPr>
        <w:spacing w:after="0" w:line="240" w:lineRule="auto"/>
        <w:ind w:left="300"/>
        <w:jc w:val="both"/>
        <w:textAlignment w:val="baseline"/>
        <w:rPr>
          <w:rFonts w:ascii="inherit" w:hAnsi="inherit" w:cs="Arial"/>
          <w:color w:val="2B2B2B"/>
          <w:sz w:val="26"/>
          <w:szCs w:val="26"/>
          <w:lang w:val="ru-RU"/>
        </w:rPr>
      </w:pPr>
      <w:r w:rsidRPr="00852125">
        <w:rPr>
          <w:rFonts w:ascii="inherit" w:hAnsi="inherit" w:cs="Arial"/>
          <w:color w:val="2B2B2B"/>
          <w:sz w:val="26"/>
          <w:szCs w:val="26"/>
          <w:lang w:val="ru-RU"/>
        </w:rPr>
        <w:t>Какими параметрами характеризуется</w:t>
      </w:r>
      <w:r>
        <w:rPr>
          <w:rFonts w:ascii="inherit" w:hAnsi="inherit" w:cs="Arial"/>
          <w:color w:val="2B2B2B"/>
          <w:sz w:val="26"/>
          <w:szCs w:val="26"/>
        </w:rPr>
        <w:t> </w:t>
      </w:r>
      <w:hyperlink r:id="rId23" w:history="1">
        <w:r w:rsidRPr="00852125"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  <w:lang w:val="ru-RU"/>
          </w:rPr>
          <w:t>деформация изгиба</w:t>
        </w:r>
      </w:hyperlink>
      <w:r w:rsidRPr="00852125">
        <w:rPr>
          <w:rFonts w:ascii="inherit" w:hAnsi="inherit" w:cs="Arial"/>
          <w:color w:val="2B2B2B"/>
          <w:sz w:val="26"/>
          <w:szCs w:val="26"/>
          <w:lang w:val="ru-RU"/>
        </w:rPr>
        <w:t>?</w:t>
      </w:r>
    </w:p>
    <w:p w:rsidR="00852125" w:rsidRPr="00852125" w:rsidRDefault="00852125" w:rsidP="00852125">
      <w:pPr>
        <w:numPr>
          <w:ilvl w:val="0"/>
          <w:numId w:val="6"/>
        </w:numPr>
        <w:spacing w:before="105" w:after="105" w:line="240" w:lineRule="auto"/>
        <w:ind w:left="300"/>
        <w:jc w:val="both"/>
        <w:textAlignment w:val="baseline"/>
        <w:rPr>
          <w:rFonts w:ascii="inherit" w:hAnsi="inherit" w:cs="Arial"/>
          <w:color w:val="2B2B2B"/>
          <w:sz w:val="26"/>
          <w:szCs w:val="26"/>
          <w:lang w:val="ru-RU"/>
        </w:rPr>
      </w:pPr>
      <w:r w:rsidRPr="00852125">
        <w:rPr>
          <w:rFonts w:ascii="inherit" w:hAnsi="inherit" w:cs="Arial"/>
          <w:color w:val="2B2B2B"/>
          <w:sz w:val="26"/>
          <w:szCs w:val="26"/>
          <w:lang w:val="ru-RU"/>
        </w:rPr>
        <w:t>Для чего нужно знать величины прогибов и углов поворота сечений?</w:t>
      </w:r>
    </w:p>
    <w:p w:rsidR="00852125" w:rsidRDefault="00852125" w:rsidP="00852125">
      <w:pPr>
        <w:numPr>
          <w:ilvl w:val="0"/>
          <w:numId w:val="6"/>
        </w:numPr>
        <w:spacing w:before="105" w:after="105" w:line="240" w:lineRule="auto"/>
        <w:ind w:left="300"/>
        <w:jc w:val="both"/>
        <w:textAlignment w:val="baseline"/>
        <w:rPr>
          <w:rFonts w:ascii="inherit" w:hAnsi="inherit" w:cs="Arial"/>
          <w:color w:val="2B2B2B"/>
          <w:sz w:val="26"/>
          <w:szCs w:val="26"/>
        </w:rPr>
      </w:pPr>
      <w:r w:rsidRPr="00852125">
        <w:rPr>
          <w:rFonts w:ascii="inherit" w:hAnsi="inherit" w:cs="Arial"/>
          <w:color w:val="2B2B2B"/>
          <w:sz w:val="26"/>
          <w:szCs w:val="26"/>
          <w:lang w:val="ru-RU"/>
        </w:rPr>
        <w:t xml:space="preserve">Что такое упругая линия балки? Как выглядит дифференциальное уравнение этой линии? </w:t>
      </w:r>
      <w:proofErr w:type="spellStart"/>
      <w:r>
        <w:rPr>
          <w:rFonts w:ascii="inherit" w:hAnsi="inherit" w:cs="Arial"/>
          <w:color w:val="2B2B2B"/>
          <w:sz w:val="26"/>
          <w:szCs w:val="26"/>
        </w:rPr>
        <w:t>Какие</w:t>
      </w:r>
      <w:proofErr w:type="spellEnd"/>
      <w:r>
        <w:rPr>
          <w:rFonts w:ascii="inherit" w:hAnsi="inherit" w:cs="Arial"/>
          <w:color w:val="2B2B2B"/>
          <w:sz w:val="26"/>
          <w:szCs w:val="26"/>
        </w:rPr>
        <w:t xml:space="preserve"> </w:t>
      </w:r>
      <w:proofErr w:type="spellStart"/>
      <w:r>
        <w:rPr>
          <w:rFonts w:ascii="inherit" w:hAnsi="inherit" w:cs="Arial"/>
          <w:color w:val="2B2B2B"/>
          <w:sz w:val="26"/>
          <w:szCs w:val="26"/>
        </w:rPr>
        <w:t>приняты</w:t>
      </w:r>
      <w:proofErr w:type="spellEnd"/>
      <w:r>
        <w:rPr>
          <w:rFonts w:ascii="inherit" w:hAnsi="inherit" w:cs="Arial"/>
          <w:color w:val="2B2B2B"/>
          <w:sz w:val="26"/>
          <w:szCs w:val="26"/>
        </w:rPr>
        <w:t xml:space="preserve"> </w:t>
      </w:r>
      <w:proofErr w:type="spellStart"/>
      <w:r>
        <w:rPr>
          <w:rFonts w:ascii="inherit" w:hAnsi="inherit" w:cs="Arial"/>
          <w:color w:val="2B2B2B"/>
          <w:sz w:val="26"/>
          <w:szCs w:val="26"/>
        </w:rPr>
        <w:t>при</w:t>
      </w:r>
      <w:proofErr w:type="spellEnd"/>
      <w:r>
        <w:rPr>
          <w:rFonts w:ascii="inherit" w:hAnsi="inherit" w:cs="Arial"/>
          <w:color w:val="2B2B2B"/>
          <w:sz w:val="26"/>
          <w:szCs w:val="26"/>
        </w:rPr>
        <w:t xml:space="preserve"> </w:t>
      </w:r>
      <w:proofErr w:type="spellStart"/>
      <w:r>
        <w:rPr>
          <w:rFonts w:ascii="inherit" w:hAnsi="inherit" w:cs="Arial"/>
          <w:color w:val="2B2B2B"/>
          <w:sz w:val="26"/>
          <w:szCs w:val="26"/>
        </w:rPr>
        <w:t>этом</w:t>
      </w:r>
      <w:proofErr w:type="spellEnd"/>
      <w:r>
        <w:rPr>
          <w:rFonts w:ascii="inherit" w:hAnsi="inherit" w:cs="Arial"/>
          <w:color w:val="2B2B2B"/>
          <w:sz w:val="26"/>
          <w:szCs w:val="26"/>
        </w:rPr>
        <w:t xml:space="preserve"> </w:t>
      </w:r>
      <w:proofErr w:type="spellStart"/>
      <w:r>
        <w:rPr>
          <w:rFonts w:ascii="inherit" w:hAnsi="inherit" w:cs="Arial"/>
          <w:color w:val="2B2B2B"/>
          <w:sz w:val="26"/>
          <w:szCs w:val="26"/>
        </w:rPr>
        <w:t>допущения</w:t>
      </w:r>
      <w:proofErr w:type="spellEnd"/>
      <w:r>
        <w:rPr>
          <w:rFonts w:ascii="inherit" w:hAnsi="inherit" w:cs="Arial"/>
          <w:color w:val="2B2B2B"/>
          <w:sz w:val="26"/>
          <w:szCs w:val="26"/>
        </w:rPr>
        <w:t>?</w:t>
      </w:r>
    </w:p>
    <w:p w:rsidR="00852125" w:rsidRDefault="00852125" w:rsidP="00852125">
      <w:pPr>
        <w:numPr>
          <w:ilvl w:val="0"/>
          <w:numId w:val="6"/>
        </w:numPr>
        <w:spacing w:before="105" w:after="105" w:line="240" w:lineRule="auto"/>
        <w:ind w:left="300"/>
        <w:jc w:val="both"/>
        <w:textAlignment w:val="baseline"/>
        <w:rPr>
          <w:rFonts w:ascii="inherit" w:hAnsi="inherit" w:cs="Arial"/>
          <w:color w:val="2B2B2B"/>
          <w:sz w:val="26"/>
          <w:szCs w:val="26"/>
        </w:rPr>
      </w:pPr>
      <w:r w:rsidRPr="00852125">
        <w:rPr>
          <w:rFonts w:ascii="inherit" w:hAnsi="inherit" w:cs="Arial"/>
          <w:color w:val="2B2B2B"/>
          <w:sz w:val="26"/>
          <w:szCs w:val="26"/>
          <w:lang w:val="ru-RU"/>
        </w:rPr>
        <w:t xml:space="preserve">Какие теоретические способы определения перемещений в балках вам известны? </w:t>
      </w:r>
      <w:proofErr w:type="spellStart"/>
      <w:r>
        <w:rPr>
          <w:rFonts w:ascii="inherit" w:hAnsi="inherit" w:cs="Arial"/>
          <w:color w:val="2B2B2B"/>
          <w:sz w:val="26"/>
          <w:szCs w:val="26"/>
        </w:rPr>
        <w:t>Перечислите</w:t>
      </w:r>
      <w:proofErr w:type="spellEnd"/>
      <w:r>
        <w:rPr>
          <w:rFonts w:ascii="inherit" w:hAnsi="inherit" w:cs="Arial"/>
          <w:color w:val="2B2B2B"/>
          <w:sz w:val="26"/>
          <w:szCs w:val="26"/>
        </w:rPr>
        <w:t xml:space="preserve"> </w:t>
      </w:r>
      <w:proofErr w:type="spellStart"/>
      <w:r>
        <w:rPr>
          <w:rFonts w:ascii="inherit" w:hAnsi="inherit" w:cs="Arial"/>
          <w:color w:val="2B2B2B"/>
          <w:sz w:val="26"/>
          <w:szCs w:val="26"/>
        </w:rPr>
        <w:t>их</w:t>
      </w:r>
      <w:proofErr w:type="spellEnd"/>
      <w:r>
        <w:rPr>
          <w:rFonts w:ascii="inherit" w:hAnsi="inherit" w:cs="Arial"/>
          <w:color w:val="2B2B2B"/>
          <w:sz w:val="26"/>
          <w:szCs w:val="26"/>
        </w:rPr>
        <w:t xml:space="preserve">, </w:t>
      </w:r>
      <w:proofErr w:type="spellStart"/>
      <w:r>
        <w:rPr>
          <w:rFonts w:ascii="inherit" w:hAnsi="inherit" w:cs="Arial"/>
          <w:color w:val="2B2B2B"/>
          <w:sz w:val="26"/>
          <w:szCs w:val="26"/>
        </w:rPr>
        <w:t>укажите</w:t>
      </w:r>
      <w:proofErr w:type="spellEnd"/>
      <w:r>
        <w:rPr>
          <w:rFonts w:ascii="inherit" w:hAnsi="inherit" w:cs="Arial"/>
          <w:color w:val="2B2B2B"/>
          <w:sz w:val="26"/>
          <w:szCs w:val="26"/>
        </w:rPr>
        <w:t xml:space="preserve"> </w:t>
      </w:r>
      <w:proofErr w:type="spellStart"/>
      <w:r>
        <w:rPr>
          <w:rFonts w:ascii="inherit" w:hAnsi="inherit" w:cs="Arial"/>
          <w:color w:val="2B2B2B"/>
          <w:sz w:val="26"/>
          <w:szCs w:val="26"/>
        </w:rPr>
        <w:t>достоинства</w:t>
      </w:r>
      <w:proofErr w:type="spellEnd"/>
      <w:r>
        <w:rPr>
          <w:rFonts w:ascii="inherit" w:hAnsi="inherit" w:cs="Arial"/>
          <w:color w:val="2B2B2B"/>
          <w:sz w:val="26"/>
          <w:szCs w:val="26"/>
        </w:rPr>
        <w:t xml:space="preserve"> и </w:t>
      </w:r>
      <w:proofErr w:type="spellStart"/>
      <w:r>
        <w:rPr>
          <w:rFonts w:ascii="inherit" w:hAnsi="inherit" w:cs="Arial"/>
          <w:color w:val="2B2B2B"/>
          <w:sz w:val="26"/>
          <w:szCs w:val="26"/>
        </w:rPr>
        <w:t>недостатки</w:t>
      </w:r>
      <w:proofErr w:type="spellEnd"/>
      <w:r>
        <w:rPr>
          <w:rFonts w:ascii="inherit" w:hAnsi="inherit" w:cs="Arial"/>
          <w:color w:val="2B2B2B"/>
          <w:sz w:val="26"/>
          <w:szCs w:val="26"/>
        </w:rPr>
        <w:t xml:space="preserve"> </w:t>
      </w:r>
      <w:proofErr w:type="spellStart"/>
      <w:r>
        <w:rPr>
          <w:rFonts w:ascii="inherit" w:hAnsi="inherit" w:cs="Arial"/>
          <w:color w:val="2B2B2B"/>
          <w:sz w:val="26"/>
          <w:szCs w:val="26"/>
        </w:rPr>
        <w:t>их</w:t>
      </w:r>
      <w:proofErr w:type="spellEnd"/>
      <w:r>
        <w:rPr>
          <w:rFonts w:ascii="inherit" w:hAnsi="inherit" w:cs="Arial"/>
          <w:color w:val="2B2B2B"/>
          <w:sz w:val="26"/>
          <w:szCs w:val="26"/>
        </w:rPr>
        <w:t xml:space="preserve"> </w:t>
      </w:r>
      <w:proofErr w:type="spellStart"/>
      <w:r>
        <w:rPr>
          <w:rFonts w:ascii="inherit" w:hAnsi="inherit" w:cs="Arial"/>
          <w:color w:val="2B2B2B"/>
          <w:sz w:val="26"/>
          <w:szCs w:val="26"/>
        </w:rPr>
        <w:t>применения</w:t>
      </w:r>
      <w:proofErr w:type="spellEnd"/>
      <w:r>
        <w:rPr>
          <w:rFonts w:ascii="inherit" w:hAnsi="inherit" w:cs="Arial"/>
          <w:color w:val="2B2B2B"/>
          <w:sz w:val="26"/>
          <w:szCs w:val="26"/>
        </w:rPr>
        <w:t>.</w:t>
      </w:r>
    </w:p>
    <w:p w:rsidR="00852125" w:rsidRPr="00852125" w:rsidRDefault="00852125" w:rsidP="00852125">
      <w:pPr>
        <w:numPr>
          <w:ilvl w:val="0"/>
          <w:numId w:val="6"/>
        </w:numPr>
        <w:spacing w:before="105" w:after="105" w:line="240" w:lineRule="auto"/>
        <w:ind w:left="300"/>
        <w:jc w:val="both"/>
        <w:textAlignment w:val="baseline"/>
        <w:rPr>
          <w:rFonts w:ascii="inherit" w:hAnsi="inherit" w:cs="Arial"/>
          <w:color w:val="2B2B2B"/>
          <w:sz w:val="26"/>
          <w:szCs w:val="26"/>
          <w:lang w:val="ru-RU"/>
        </w:rPr>
      </w:pPr>
      <w:r w:rsidRPr="00852125">
        <w:rPr>
          <w:rFonts w:ascii="inherit" w:hAnsi="inherit" w:cs="Arial"/>
          <w:color w:val="2B2B2B"/>
          <w:sz w:val="26"/>
          <w:szCs w:val="26"/>
          <w:lang w:val="ru-RU"/>
        </w:rPr>
        <w:t>Перечислите, какие условные правила необходимо выполнять при использовании универсального уравнения упругой линии.</w:t>
      </w:r>
    </w:p>
    <w:p w:rsidR="00852125" w:rsidRPr="00852125" w:rsidRDefault="00852125" w:rsidP="00852125">
      <w:pPr>
        <w:numPr>
          <w:ilvl w:val="0"/>
          <w:numId w:val="6"/>
        </w:numPr>
        <w:spacing w:before="105" w:after="105" w:line="240" w:lineRule="auto"/>
        <w:ind w:left="300"/>
        <w:jc w:val="both"/>
        <w:textAlignment w:val="baseline"/>
        <w:rPr>
          <w:rFonts w:ascii="inherit" w:hAnsi="inherit" w:cs="Arial"/>
          <w:color w:val="2B2B2B"/>
          <w:sz w:val="26"/>
          <w:szCs w:val="26"/>
          <w:lang w:val="ru-RU"/>
        </w:rPr>
      </w:pPr>
      <w:r w:rsidRPr="00852125">
        <w:rPr>
          <w:rFonts w:ascii="inherit" w:hAnsi="inherit" w:cs="Arial"/>
          <w:color w:val="2B2B2B"/>
          <w:sz w:val="26"/>
          <w:szCs w:val="26"/>
          <w:lang w:val="ru-RU"/>
        </w:rPr>
        <w:t>Чем подтверждается пропорциональность между прогибами балки и нагрузкой на нее?</w:t>
      </w:r>
    </w:p>
    <w:p w:rsidR="00852125" w:rsidRDefault="00852125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852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E638E"/>
    <w:multiLevelType w:val="multilevel"/>
    <w:tmpl w:val="F1B2E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8263F3"/>
    <w:multiLevelType w:val="multilevel"/>
    <w:tmpl w:val="3DB8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4BF1A1A"/>
    <w:multiLevelType w:val="multilevel"/>
    <w:tmpl w:val="0A84B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AE01D4"/>
    <w:multiLevelType w:val="multilevel"/>
    <w:tmpl w:val="C4AC8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E42394"/>
    <w:multiLevelType w:val="multilevel"/>
    <w:tmpl w:val="15BE6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12443E"/>
    <w:multiLevelType w:val="multilevel"/>
    <w:tmpl w:val="95789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E07"/>
    <w:rsid w:val="002F00D3"/>
    <w:rsid w:val="003B441E"/>
    <w:rsid w:val="004A09C8"/>
    <w:rsid w:val="008007C0"/>
    <w:rsid w:val="00852125"/>
    <w:rsid w:val="008A2FB5"/>
    <w:rsid w:val="00CD0522"/>
    <w:rsid w:val="00D96E07"/>
    <w:rsid w:val="00DD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07E82"/>
  <w15:chartTrackingRefBased/>
  <w15:docId w15:val="{5AF24FE4-698C-4E76-BBBA-811EAF07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E07"/>
    <w:pPr>
      <w:spacing w:after="200" w:line="276" w:lineRule="auto"/>
    </w:pPr>
    <w:rPr>
      <w:rFonts w:eastAsiaTheme="minorEastAsia"/>
      <w:lang w:val="en-US"/>
    </w:rPr>
  </w:style>
  <w:style w:type="paragraph" w:styleId="2">
    <w:name w:val="heading 2"/>
    <w:basedOn w:val="a"/>
    <w:link w:val="20"/>
    <w:uiPriority w:val="9"/>
    <w:qFormat/>
    <w:rsid w:val="00D96E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6E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96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D96E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7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opromat.ru/teormeh/kratkaja-teoria/centr-tyazhesti" TargetMode="External"/><Relationship Id="rId13" Type="http://schemas.openxmlformats.org/officeDocument/2006/relationships/hyperlink" Target="https://isopromat.ru/sopromat/obzornyj-kurs-teorii/izgib-poperecnaa-sila-izgibausij-moment" TargetMode="External"/><Relationship Id="rId18" Type="http://schemas.openxmlformats.org/officeDocument/2006/relationships/hyperlink" Target="https://isopromat.ru/sopromat/labs/strelochnyj-indikator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7" Type="http://schemas.openxmlformats.org/officeDocument/2006/relationships/hyperlink" Target="https://isopromat.ru/sopromat/obzornyj-kurs-teorii/vneshnie-nagruzki" TargetMode="External"/><Relationship Id="rId12" Type="http://schemas.openxmlformats.org/officeDocument/2006/relationships/hyperlink" Target="https://isopromat.ru/glossary/deformacii" TargetMode="External"/><Relationship Id="rId17" Type="http://schemas.openxmlformats.org/officeDocument/2006/relationships/hyperlink" Target="https://isopromat.ru/glossary/balka/konsolnaya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sopromat.ru/glossary/prolet-balki" TargetMode="External"/><Relationship Id="rId20" Type="http://schemas.openxmlformats.org/officeDocument/2006/relationships/hyperlink" Target="https://isopromat.ru/sopromat/obzornyj-kurs-teorii/raschetnaya-shem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sopromat.ru/glossary/balka" TargetMode="External"/><Relationship Id="rId11" Type="http://schemas.openxmlformats.org/officeDocument/2006/relationships/hyperlink" Target="https://isopromat.ru/sopromat/teoria/izgib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isopromat.ru/glossary/opory/sharnirnye" TargetMode="External"/><Relationship Id="rId23" Type="http://schemas.openxmlformats.org/officeDocument/2006/relationships/hyperlink" Target="https://isopromat.ru/sopromat/obzornyj-kurs-teorii/peremechenia-pri-izgibe-metody-rasceta" TargetMode="External"/><Relationship Id="rId10" Type="http://schemas.openxmlformats.org/officeDocument/2006/relationships/hyperlink" Target="https://isopromat.ru/sopromat/obzornyj-kurs-teorii/dopuschenia-v-sopromate" TargetMode="External"/><Relationship Id="rId19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isopromat.ru/glossary/poperechnoe-sechenie" TargetMode="External"/><Relationship Id="rId14" Type="http://schemas.openxmlformats.org/officeDocument/2006/relationships/hyperlink" Target="https://isopromat.ru/sopromat/teoria/metod-nachalnyh-parametrov" TargetMode="External"/><Relationship Id="rId2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2024-05-19T17:26:00Z</dcterms:created>
  <dcterms:modified xsi:type="dcterms:W3CDTF">2024-05-19T17:29:00Z</dcterms:modified>
</cp:coreProperties>
</file>