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07" w:rsidRPr="000D79C9" w:rsidRDefault="00D96E07" w:rsidP="00D96E0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94376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CF881F" wp14:editId="1CA5CCCE">
            <wp:simplePos x="0" y="0"/>
            <wp:positionH relativeFrom="column">
              <wp:posOffset>-352425</wp:posOffset>
            </wp:positionH>
            <wp:positionV relativeFrom="paragraph">
              <wp:posOffset>-80010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D96E07" w:rsidRPr="00B959FC" w:rsidRDefault="00D96E07" w:rsidP="00D96E07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D96E07" w:rsidRPr="00B959FC" w:rsidRDefault="00D96E07" w:rsidP="00D96E07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D96E07" w:rsidRDefault="00D96E07" w:rsidP="00D96E0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6E07" w:rsidRPr="0066598A" w:rsidRDefault="00D96E07" w:rsidP="00D96E0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D96E07" w:rsidRPr="0066598A" w:rsidRDefault="00D96E07" w:rsidP="00D96E0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D96E07" w:rsidRDefault="00D96E07" w:rsidP="00D96E0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D96E07" w:rsidRDefault="00D96E07" w:rsidP="00D96E0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D96E07" w:rsidRPr="0066598A" w:rsidRDefault="00D96E07" w:rsidP="00D96E0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D96E07" w:rsidRPr="00C25339" w:rsidRDefault="00D96E07" w:rsidP="00D96E0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D96E07" w:rsidRPr="0066598A" w:rsidRDefault="00D96E07" w:rsidP="00D96E0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B441E" w:rsidRPr="008007C0" w:rsidRDefault="003B441E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</w:t>
      </w:r>
      <w:r w:rsidR="002F00D3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D96E07" w:rsidRDefault="00CD0522" w:rsidP="00CD05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0522">
        <w:rPr>
          <w:rFonts w:ascii="Times New Roman" w:hAnsi="Times New Roman" w:cs="Times New Roman"/>
          <w:sz w:val="28"/>
          <w:szCs w:val="28"/>
          <w:lang w:val="ru-RU"/>
        </w:rPr>
        <w:t>Определение модуля продольной упругости материала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Цель работы – опытная проверка справедливости </w:t>
      </w:r>
      <w:hyperlink r:id="rId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закона Гука</w:t>
        </w:r>
      </w:hyperlink>
      <w:r>
        <w:rPr>
          <w:rFonts w:ascii="Arial" w:hAnsi="Arial" w:cs="Arial"/>
          <w:color w:val="2B2B2B"/>
          <w:sz w:val="26"/>
          <w:szCs w:val="26"/>
        </w:rPr>
        <w:t> при растяжении и определение </w:t>
      </w:r>
      <w:hyperlink r:id="rId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модуля упругости I рода</w:t>
        </w:r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Основные сведения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Экспериментальные </w:t>
      </w:r>
      <w:hyperlink r:id="rId8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исследования на растяжение</w:t>
        </w:r>
      </w:hyperlink>
      <w:r>
        <w:rPr>
          <w:rFonts w:ascii="Arial" w:hAnsi="Arial" w:cs="Arial"/>
          <w:color w:val="2B2B2B"/>
          <w:sz w:val="26"/>
          <w:szCs w:val="26"/>
        </w:rPr>
        <w:t> (</w:t>
      </w:r>
      <w:hyperlink r:id="rId9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сжатие</w:t>
        </w:r>
      </w:hyperlink>
      <w:r>
        <w:rPr>
          <w:rFonts w:ascii="Arial" w:hAnsi="Arial" w:cs="Arial"/>
          <w:color w:val="2B2B2B"/>
          <w:sz w:val="26"/>
          <w:szCs w:val="26"/>
        </w:rPr>
        <w:t>) стандартных образцов показывают, что </w:t>
      </w:r>
      <w:hyperlink r:id="rId1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абсолютные удлинения</w:t>
        </w:r>
      </w:hyperlink>
      <w:r>
        <w:rPr>
          <w:rFonts w:ascii="Arial" w:hAnsi="Arial" w:cs="Arial"/>
          <w:color w:val="2B2B2B"/>
          <w:sz w:val="26"/>
          <w:szCs w:val="26"/>
        </w:rPr>
        <w:t>, получающиеся в начальной стадии </w:t>
      </w:r>
      <w:hyperlink r:id="rId11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растяжения (сжатия)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, остаются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прямопропорциональными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растягивающей (сжимающей) силе и зависят от первоначальной длины образца l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0</w:t>
      </w:r>
      <w:r>
        <w:rPr>
          <w:rFonts w:ascii="Arial" w:hAnsi="Arial" w:cs="Arial"/>
          <w:color w:val="2B2B2B"/>
          <w:sz w:val="26"/>
          <w:szCs w:val="26"/>
        </w:rPr>
        <w:t> и </w:t>
      </w:r>
      <w:hyperlink r:id="rId1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площади поперечного сечения</w:t>
        </w:r>
      </w:hyperlink>
      <w:r>
        <w:rPr>
          <w:rFonts w:ascii="Arial" w:hAnsi="Arial" w:cs="Arial"/>
          <w:color w:val="2B2B2B"/>
          <w:sz w:val="26"/>
          <w:szCs w:val="26"/>
        </w:rPr>
        <w:t> А:</w:t>
      </w:r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1343025" cy="400050"/>
            <wp:effectExtent l="0" t="0" r="9525" b="0"/>
            <wp:docPr id="7" name="Рисунок 7" descr="https://isopromat.ru/wp-content/uploads/is-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opromat.ru/wp-content/uploads/is-6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Величина ЕА называется жесткостью </w:t>
      </w:r>
      <w:hyperlink r:id="rId14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стержня</w:t>
        </w:r>
      </w:hyperlink>
      <w:r>
        <w:rPr>
          <w:rFonts w:ascii="Arial" w:hAnsi="Arial" w:cs="Arial"/>
          <w:color w:val="2B2B2B"/>
          <w:sz w:val="26"/>
          <w:szCs w:val="26"/>
        </w:rPr>
        <w:t> при растяжении и сжатии.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Коэффициент Е носит название модуля упругости I рода (используют также название «модуль Юнга» или «</w:t>
      </w:r>
      <w:hyperlink r:id="rId15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модуль продольной упругости</w:t>
        </w:r>
      </w:hyperlink>
      <w:r>
        <w:rPr>
          <w:rFonts w:ascii="Arial" w:hAnsi="Arial" w:cs="Arial"/>
          <w:color w:val="2B2B2B"/>
          <w:sz w:val="26"/>
          <w:szCs w:val="26"/>
        </w:rPr>
        <w:t>«) и является основной физической постоянной, характеризующей </w:t>
      </w:r>
      <w:hyperlink r:id="rId1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упругие свойства (жесткость) материала</w:t>
        </w:r>
      </w:hyperlink>
      <w:r>
        <w:rPr>
          <w:rFonts w:ascii="Arial" w:hAnsi="Arial" w:cs="Arial"/>
          <w:color w:val="2B2B2B"/>
          <w:sz w:val="26"/>
          <w:szCs w:val="26"/>
        </w:rPr>
        <w:t> при линейной </w:t>
      </w:r>
      <w:hyperlink r:id="rId1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деформации</w:t>
        </w:r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Чем больше значение Е, тем меньше при прочих равных условиях продольная деформация. Из формулы (3.1) следует, что модуль упругости</w:t>
      </w:r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2200275" cy="400050"/>
            <wp:effectExtent l="0" t="0" r="9525" b="0"/>
            <wp:docPr id="6" name="Рисунок 6" descr="https://isopromat.ru/wp-content/uploads/is-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sopromat.ru/wp-content/uploads/is-60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имеет размерность, что и </w:t>
      </w:r>
      <w:hyperlink r:id="rId19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напряжение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, — в [Па] или кратных единицах — [кПа], [МПа], а для экспериментального определения его потребуется замерить величины: F, A, l,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Δl</w:t>
      </w:r>
      <w:proofErr w:type="spellEnd"/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Испытания проводятся на </w:t>
      </w:r>
      <w:hyperlink r:id="rId2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испытательной машине типа Р-5</w:t>
        </w:r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Испытывается образец квадратного сечения. Влияние возможной неточности изготовления образца на центральное приложение нагрузки устраняется за счет установки двух тензометров на противоположных продольных гранях образца.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В качестве </w:t>
      </w:r>
      <w:proofErr w:type="spellStart"/>
      <w:r>
        <w:rPr>
          <w:rFonts w:ascii="Arial" w:hAnsi="Arial" w:cs="Arial"/>
          <w:color w:val="2B2B2B"/>
          <w:sz w:val="26"/>
          <w:szCs w:val="26"/>
        </w:rPr>
        <w:fldChar w:fldCharType="begin"/>
      </w:r>
      <w:r>
        <w:rPr>
          <w:rFonts w:ascii="Arial" w:hAnsi="Arial" w:cs="Arial"/>
          <w:color w:val="2B2B2B"/>
          <w:sz w:val="26"/>
          <w:szCs w:val="26"/>
        </w:rPr>
        <w:instrText xml:space="preserve"> HYPERLINK "https://isopromat.ru/sopromat/labs/tenzodatchik" </w:instrText>
      </w:r>
      <w:r>
        <w:rPr>
          <w:rFonts w:ascii="Arial" w:hAnsi="Arial" w:cs="Arial"/>
          <w:color w:val="2B2B2B"/>
          <w:sz w:val="26"/>
          <w:szCs w:val="26"/>
        </w:rPr>
        <w:fldChar w:fldCharType="separate"/>
      </w:r>
      <w:r>
        <w:rPr>
          <w:rStyle w:val="a4"/>
          <w:rFonts w:ascii="inherit" w:hAnsi="inherit" w:cs="Arial"/>
          <w:color w:val="24890D"/>
          <w:sz w:val="26"/>
          <w:szCs w:val="26"/>
          <w:bdr w:val="none" w:sz="0" w:space="0" w:color="auto" w:frame="1"/>
        </w:rPr>
        <w:t>тензодатчиков</w:t>
      </w:r>
      <w:proofErr w:type="spellEnd"/>
      <w:r>
        <w:rPr>
          <w:rFonts w:ascii="Arial" w:hAnsi="Arial" w:cs="Arial"/>
          <w:color w:val="2B2B2B"/>
          <w:sz w:val="26"/>
          <w:szCs w:val="26"/>
        </w:rPr>
        <w:fldChar w:fldCharType="end"/>
      </w:r>
      <w:r>
        <w:rPr>
          <w:rFonts w:ascii="Arial" w:hAnsi="Arial" w:cs="Arial"/>
          <w:color w:val="2B2B2B"/>
          <w:sz w:val="26"/>
          <w:szCs w:val="26"/>
        </w:rPr>
        <w:t> используются </w:t>
      </w:r>
      <w:hyperlink r:id="rId21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тензометры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Аистова</w:t>
        </w:r>
        <w:proofErr w:type="spellEnd"/>
      </w:hyperlink>
      <w:r>
        <w:rPr>
          <w:rFonts w:ascii="Arial" w:hAnsi="Arial" w:cs="Arial"/>
          <w:color w:val="2B2B2B"/>
          <w:sz w:val="26"/>
          <w:szCs w:val="26"/>
        </w:rPr>
        <w:t xml:space="preserve">. Среднее удлинение, получаемое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из  показания</w:t>
      </w:r>
      <w:proofErr w:type="gramEnd"/>
      <w:r>
        <w:rPr>
          <w:rFonts w:ascii="Arial" w:hAnsi="Arial" w:cs="Arial"/>
          <w:color w:val="2B2B2B"/>
          <w:sz w:val="26"/>
          <w:szCs w:val="26"/>
        </w:rPr>
        <w:t xml:space="preserve"> двух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тензодатчиков</w:t>
      </w:r>
      <w:proofErr w:type="spellEnd"/>
      <w:r>
        <w:rPr>
          <w:rFonts w:ascii="Arial" w:hAnsi="Arial" w:cs="Arial"/>
          <w:color w:val="2B2B2B"/>
          <w:sz w:val="26"/>
          <w:szCs w:val="26"/>
        </w:rPr>
        <w:t>, принимают равным удлинению оси образца.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Диапазон нагрузок зависит от состояния и класса точности установки и </w:t>
      </w:r>
      <w:hyperlink r:id="rId2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предела пропорциональности</w:t>
        </w:r>
      </w:hyperlink>
      <w:r>
        <w:rPr>
          <w:rFonts w:ascii="Arial" w:hAnsi="Arial" w:cs="Arial"/>
          <w:color w:val="2B2B2B"/>
          <w:sz w:val="26"/>
          <w:szCs w:val="26"/>
        </w:rPr>
        <w:t> материала образца. Минимальная загрузка зависит от жесткости самой установки (выборка лифтов, затяжка клиньев и т.п.) и определяется опытным путем. Максимальная загрузка рассчитывается по формуле</w:t>
      </w:r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1828800" cy="285750"/>
            <wp:effectExtent l="0" t="0" r="0" b="0"/>
            <wp:docPr id="5" name="Рисунок 5" descr="https://isopromat.ru/wp-content/uploads/is-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sopromat.ru/wp-content/uploads/is-60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Зная диапазон нагрузок, определяют количество и величину ступеней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ΔF.</w:t>
      </w:r>
    </w:p>
    <w:p w:rsidR="00CD0522" w:rsidRDefault="00CD0522" w:rsidP="00CD0522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lastRenderedPageBreak/>
        <w:t>Порядок выполнения и обработка результатов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Перед началом выполнения лабораторной работы необходимо ознакомиться с устройством </w:t>
      </w:r>
      <w:hyperlink r:id="rId24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машины Р-5</w:t>
        </w:r>
      </w:hyperlink>
      <w:r>
        <w:rPr>
          <w:rFonts w:ascii="Arial" w:hAnsi="Arial" w:cs="Arial"/>
          <w:color w:val="2B2B2B"/>
          <w:sz w:val="26"/>
          <w:szCs w:val="26"/>
        </w:rPr>
        <w:t> и рычажным </w:t>
      </w:r>
      <w:hyperlink r:id="rId25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тензометром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Аистова</w:t>
        </w:r>
        <w:proofErr w:type="spellEnd"/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Образец с закрепленными на нем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тензодатчиками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устанавливают в захватах машины и приводят в рабочее состояние.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Производят предварительное (минимальное)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нагружение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образца начальной нагрузкой и при этой нагрузке снимают показания приборов.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Далее нагрузку увеличивают плавно равными ступенями ΔF (5-6 ступеней) и производят соответственно снятие показаний с тензометров.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Доводить нагрузку до очередного значения нужно плавно, не «перескакивая» нужное значение. После осуществления загрузки последней ступени следует разгрузить образец до нагрузки, соответствующей минимальной.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При очередной ступени загрузки результаты опыта заносят в таблицу. Каждому приращению ΔF будет соответствовать приращение 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1i</w:t>
      </w:r>
      <w:r>
        <w:rPr>
          <w:rFonts w:ascii="Arial" w:hAnsi="Arial" w:cs="Arial"/>
          <w:color w:val="2B2B2B"/>
          <w:sz w:val="26"/>
          <w:szCs w:val="26"/>
        </w:rPr>
        <w:t> и ΔП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2i</w:t>
      </w:r>
      <w:r>
        <w:rPr>
          <w:rFonts w:ascii="Arial" w:hAnsi="Arial" w:cs="Arial"/>
          <w:color w:val="2B2B2B"/>
          <w:sz w:val="26"/>
          <w:szCs w:val="26"/>
        </w:rPr>
        <w:t>, по которым подсчитывают среднее значение</w:t>
      </w:r>
    </w:p>
    <w:p w:rsidR="00CD0522" w:rsidRP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  <w:lang w:val="ru-RU"/>
        </w:rPr>
      </w:pPr>
      <w:r>
        <w:rPr>
          <w:rFonts w:ascii="Arial" w:hAnsi="Arial" w:cs="Arial"/>
          <w:color w:val="2B2B2B"/>
          <w:sz w:val="26"/>
          <w:szCs w:val="26"/>
        </w:rPr>
        <w:t>Δ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>П</w:t>
      </w:r>
      <w:r w:rsidRPr="00CD0522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ср</w:t>
      </w:r>
      <w:r>
        <w:rPr>
          <w:rFonts w:ascii="Arial" w:hAnsi="Arial" w:cs="Arial"/>
          <w:color w:val="2B2B2B"/>
          <w:sz w:val="26"/>
          <w:szCs w:val="26"/>
        </w:rPr>
        <w:t> 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>= (</w:t>
      </w:r>
      <w:r>
        <w:rPr>
          <w:rFonts w:ascii="Arial" w:hAnsi="Arial" w:cs="Arial"/>
          <w:color w:val="2B2B2B"/>
          <w:sz w:val="26"/>
          <w:szCs w:val="26"/>
        </w:rPr>
        <w:t>Δ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>П</w:t>
      </w:r>
      <w:r w:rsidRPr="00CD0522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1</w:t>
      </w:r>
      <w:proofErr w:type="spellStart"/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 xml:space="preserve">+ </w:t>
      </w:r>
      <w:r>
        <w:rPr>
          <w:rFonts w:ascii="Arial" w:hAnsi="Arial" w:cs="Arial"/>
          <w:color w:val="2B2B2B"/>
          <w:sz w:val="26"/>
          <w:szCs w:val="26"/>
        </w:rPr>
        <w:t>Δ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>П</w:t>
      </w:r>
      <w:r w:rsidRPr="00CD0522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2</w:t>
      </w:r>
      <w:proofErr w:type="spellStart"/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 w:rsidRPr="00CD0522">
        <w:rPr>
          <w:rFonts w:ascii="Arial" w:hAnsi="Arial" w:cs="Arial"/>
          <w:color w:val="2B2B2B"/>
          <w:sz w:val="26"/>
          <w:szCs w:val="26"/>
          <w:lang w:val="ru-RU"/>
        </w:rPr>
        <w:t>)/2.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Истинное значение удлинения образца находим как</w:t>
      </w:r>
    </w:p>
    <w:p w:rsidR="00CD0522" w:rsidRP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  <w:lang w:val="ru-RU"/>
        </w:rPr>
      </w:pPr>
      <w:proofErr w:type="spellStart"/>
      <w:r>
        <w:rPr>
          <w:rFonts w:ascii="Arial" w:hAnsi="Arial" w:cs="Arial"/>
          <w:color w:val="2B2B2B"/>
          <w:sz w:val="26"/>
          <w:szCs w:val="26"/>
        </w:rPr>
        <w:t>Δl</w:t>
      </w:r>
      <w:proofErr w:type="spellEnd"/>
      <w:r w:rsidRPr="00CD0522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ср</w:t>
      </w:r>
      <w:proofErr w:type="spellStart"/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 xml:space="preserve">= </w:t>
      </w:r>
      <w:r>
        <w:rPr>
          <w:rFonts w:ascii="Arial" w:hAnsi="Arial" w:cs="Arial"/>
          <w:color w:val="2B2B2B"/>
          <w:sz w:val="26"/>
          <w:szCs w:val="26"/>
        </w:rPr>
        <w:t>Δ</w:t>
      </w:r>
      <w:r w:rsidRPr="00CD0522">
        <w:rPr>
          <w:rFonts w:ascii="Arial" w:hAnsi="Arial" w:cs="Arial"/>
          <w:color w:val="2B2B2B"/>
          <w:sz w:val="26"/>
          <w:szCs w:val="26"/>
          <w:lang w:val="ru-RU"/>
        </w:rPr>
        <w:t>П</w:t>
      </w:r>
      <w:r w:rsidRPr="00CD0522"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  <w:lang w:val="ru-RU"/>
        </w:rPr>
        <w:t>ср</w:t>
      </w:r>
      <w:proofErr w:type="spellStart"/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i</w:t>
      </w:r>
      <w:proofErr w:type="spellEnd"/>
      <w:r w:rsidRPr="00CD0522">
        <w:rPr>
          <w:rFonts w:ascii="Arial" w:hAnsi="Arial" w:cs="Arial"/>
          <w:color w:val="2B2B2B"/>
          <w:sz w:val="26"/>
          <w:szCs w:val="26"/>
          <w:lang w:val="ru-RU"/>
        </w:rPr>
        <w:t>К,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где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К</w:t>
      </w:r>
      <w:proofErr w:type="gramEnd"/>
      <w:r>
        <w:rPr>
          <w:rFonts w:ascii="Arial" w:hAnsi="Arial" w:cs="Arial"/>
          <w:color w:val="2B2B2B"/>
          <w:sz w:val="26"/>
          <w:szCs w:val="26"/>
        </w:rPr>
        <w:t xml:space="preserve"> = 10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perscript"/>
        </w:rPr>
        <w:t>-3</w:t>
      </w:r>
      <w:r>
        <w:rPr>
          <w:rFonts w:ascii="Arial" w:hAnsi="Arial" w:cs="Arial"/>
          <w:color w:val="2B2B2B"/>
          <w:sz w:val="26"/>
          <w:szCs w:val="26"/>
        </w:rPr>
        <w:t xml:space="preserve"> мм – цена 1 деления тензометра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Аистова</w:t>
      </w:r>
      <w:proofErr w:type="spellEnd"/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По значениям нагрузки F и суммарному нарастанию удлинения оси образца строят </w:t>
      </w:r>
      <w:hyperlink r:id="rId2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график диаграммы растяжения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 образца в координатах F :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Δ</w:t>
      </w:r>
      <w:r>
        <w:rPr>
          <w:rFonts w:ascii="inherit" w:hAnsi="inherit"/>
          <w:i/>
          <w:iCs/>
          <w:color w:val="2B2B2B"/>
          <w:sz w:val="26"/>
          <w:szCs w:val="26"/>
          <w:bdr w:val="none" w:sz="0" w:space="0" w:color="auto" w:frame="1"/>
        </w:rPr>
        <w:t>l</w:t>
      </w:r>
      <w:proofErr w:type="spellEnd"/>
      <w:r>
        <w:rPr>
          <w:rFonts w:ascii="Arial" w:hAnsi="Arial" w:cs="Arial"/>
          <w:color w:val="2B2B2B"/>
          <w:sz w:val="26"/>
          <w:szCs w:val="26"/>
        </w:rPr>
        <w:t>, по которому проверяют линейность зависимости (справедливость закона Гука).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Для среднего приращения нагрузки (ступени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>) определяют среднюю продольную </w:t>
      </w:r>
      <w:hyperlink r:id="rId2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абсолютную деформацию</w:t>
        </w:r>
      </w:hyperlink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1038225" cy="419100"/>
            <wp:effectExtent l="0" t="0" r="9525" b="0"/>
            <wp:docPr id="4" name="Рисунок 4" descr="https://isopromat.ru/wp-content/uploads/is-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opromat.ru/wp-content/uploads/is-60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где П – число ступеней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Модуль продольной упругости</w:t>
      </w:r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drawing>
          <wp:inline distT="0" distB="0" distL="0" distR="0">
            <wp:extent cx="990600" cy="504825"/>
            <wp:effectExtent l="0" t="0" r="0" b="9525"/>
            <wp:docPr id="3" name="Рисунок 3" descr="https://isopromat.ru/wp-content/uploads/is-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opromat.ru/wp-content/uploads/is-6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где </w:t>
      </w:r>
      <w:r>
        <w:rPr>
          <w:rFonts w:ascii="inherit" w:hAnsi="inherit"/>
          <w:i/>
          <w:iCs/>
          <w:color w:val="2B2B2B"/>
          <w:sz w:val="26"/>
          <w:szCs w:val="26"/>
          <w:bdr w:val="none" w:sz="0" w:space="0" w:color="auto" w:frame="1"/>
        </w:rPr>
        <w:t>l</w:t>
      </w:r>
      <w:r>
        <w:rPr>
          <w:rFonts w:ascii="Arial" w:hAnsi="Arial" w:cs="Arial"/>
          <w:color w:val="2B2B2B"/>
          <w:sz w:val="26"/>
          <w:szCs w:val="26"/>
        </w:rPr>
        <w:t xml:space="preserve"> – база тензометра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Аистова</w:t>
      </w:r>
      <w:proofErr w:type="spellEnd"/>
      <w:r>
        <w:rPr>
          <w:rFonts w:ascii="Arial" w:hAnsi="Arial" w:cs="Arial"/>
          <w:color w:val="2B2B2B"/>
          <w:sz w:val="26"/>
          <w:szCs w:val="26"/>
        </w:rPr>
        <w:t>.</w:t>
      </w:r>
    </w:p>
    <w:p w:rsidR="00CD0522" w:rsidRDefault="00CD0522" w:rsidP="00CD052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Полученное в опыте значение модуля упругости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Е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оп</w:t>
      </w:r>
      <w:proofErr w:type="spellEnd"/>
      <w:r>
        <w:rPr>
          <w:rFonts w:ascii="Arial" w:hAnsi="Arial" w:cs="Arial"/>
          <w:color w:val="2B2B2B"/>
          <w:sz w:val="26"/>
          <w:szCs w:val="26"/>
        </w:rPr>
        <w:t> сравнивают с </w:t>
      </w:r>
      <w:hyperlink r:id="rId3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табличным</w:t>
        </w:r>
      </w:hyperlink>
      <w:r>
        <w:rPr>
          <w:rFonts w:ascii="Arial" w:hAnsi="Arial" w:cs="Arial"/>
          <w:color w:val="2B2B2B"/>
          <w:sz w:val="26"/>
          <w:szCs w:val="26"/>
        </w:rPr>
        <w:t> Е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Т</w:t>
      </w:r>
      <w:r>
        <w:rPr>
          <w:rFonts w:ascii="Arial" w:hAnsi="Arial" w:cs="Arial"/>
          <w:color w:val="2B2B2B"/>
          <w:sz w:val="26"/>
          <w:szCs w:val="26"/>
        </w:rPr>
        <w:t> = 2·10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perscript"/>
        </w:rPr>
        <w:t>11</w:t>
      </w:r>
      <w:r>
        <w:rPr>
          <w:rFonts w:ascii="Arial" w:hAnsi="Arial" w:cs="Arial"/>
          <w:color w:val="2B2B2B"/>
          <w:sz w:val="26"/>
          <w:szCs w:val="26"/>
        </w:rPr>
        <w:t> Па и определяют погрешность опыта.</w:t>
      </w:r>
    </w:p>
    <w:p w:rsidR="00CD0522" w:rsidRDefault="00CD0522" w:rsidP="00CD0522">
      <w:pPr>
        <w:jc w:val="center"/>
        <w:textAlignment w:val="baseline"/>
        <w:rPr>
          <w:rFonts w:ascii="Arial" w:hAnsi="Arial" w:cs="Arial"/>
          <w:color w:val="2B2B2B"/>
          <w:sz w:val="26"/>
          <w:szCs w:val="26"/>
        </w:rPr>
      </w:pPr>
      <w:bookmarkStart w:id="0" w:name="_GoBack"/>
      <w:r>
        <w:rPr>
          <w:rFonts w:ascii="Arial" w:hAnsi="Arial" w:cs="Arial"/>
          <w:noProof/>
          <w:color w:val="2B2B2B"/>
          <w:sz w:val="26"/>
          <w:szCs w:val="26"/>
          <w:lang w:val="ru-RU" w:eastAsia="ru-RU"/>
        </w:rPr>
        <w:lastRenderedPageBreak/>
        <w:drawing>
          <wp:inline distT="0" distB="0" distL="0" distR="0">
            <wp:extent cx="1390650" cy="476250"/>
            <wp:effectExtent l="0" t="0" r="0" b="0"/>
            <wp:docPr id="2" name="Рисунок 2" descr="https://isopromat.ru/wp-content/uploads/is-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sopromat.ru/wp-content/uploads/is-61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522" w:rsidRDefault="00CD0522" w:rsidP="00CD0522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В заключение работы делают выводы.</w:t>
      </w:r>
    </w:p>
    <w:p w:rsidR="00CD0522" w:rsidRDefault="00CD0522" w:rsidP="00CD0522">
      <w:pPr>
        <w:pStyle w:val="2"/>
        <w:spacing w:before="540" w:beforeAutospacing="0" w:after="180" w:afterAutospacing="0"/>
        <w:jc w:val="both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Контрольные вопросы</w:t>
      </w:r>
    </w:p>
    <w:p w:rsidR="00CD0522" w:rsidRDefault="00CD0522" w:rsidP="00CD0522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</w:rPr>
      </w:pP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Как формулируется закон Гука для</w:t>
      </w:r>
      <w:r>
        <w:rPr>
          <w:rFonts w:ascii="inherit" w:hAnsi="inherit" w:cs="Arial"/>
          <w:color w:val="2B2B2B"/>
          <w:sz w:val="26"/>
          <w:szCs w:val="26"/>
        </w:rPr>
        <w:t> </w:t>
      </w:r>
      <w:hyperlink r:id="rId32" w:history="1">
        <w:r w:rsidRPr="00CD0522"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  <w:lang w:val="ru-RU"/>
          </w:rPr>
          <w:t>линейного напряженного состояния</w:t>
        </w:r>
      </w:hyperlink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 xml:space="preserve">?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Как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ограничить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верхнюю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максимальную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нагрузку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>?</w:t>
      </w:r>
    </w:p>
    <w:p w:rsidR="00CD0522" w:rsidRPr="00CD0522" w:rsidRDefault="00CD0522" w:rsidP="00CD0522">
      <w:pPr>
        <w:numPr>
          <w:ilvl w:val="0"/>
          <w:numId w:val="5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Каковы границы применения закона Гука?</w:t>
      </w:r>
    </w:p>
    <w:p w:rsidR="00CD0522" w:rsidRPr="00CD0522" w:rsidRDefault="00CD0522" w:rsidP="00CD0522">
      <w:pPr>
        <w:numPr>
          <w:ilvl w:val="0"/>
          <w:numId w:val="5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Что характеризует модуль упругости Е, от чего он зависит и какова его размерность?</w:t>
      </w:r>
    </w:p>
    <w:p w:rsidR="00CD0522" w:rsidRPr="00CD0522" w:rsidRDefault="00CD0522" w:rsidP="00CD0522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По какому геометрическому выражению с использованием</w:t>
      </w:r>
      <w:r>
        <w:rPr>
          <w:rFonts w:ascii="inherit" w:hAnsi="inherit" w:cs="Arial"/>
          <w:color w:val="2B2B2B"/>
          <w:sz w:val="26"/>
          <w:szCs w:val="26"/>
        </w:rPr>
        <w:t> </w:t>
      </w:r>
      <w:hyperlink r:id="rId33" w:history="1">
        <w:r w:rsidRPr="00CD0522"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  <w:lang w:val="ru-RU"/>
          </w:rPr>
          <w:t>диаграммы напряжений</w:t>
        </w:r>
      </w:hyperlink>
      <w:r>
        <w:rPr>
          <w:rFonts w:ascii="inherit" w:hAnsi="inherit" w:cs="Arial"/>
          <w:color w:val="2B2B2B"/>
          <w:sz w:val="26"/>
          <w:szCs w:val="26"/>
        </w:rPr>
        <w:t> </w:t>
      </w: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можно определить Е?</w:t>
      </w:r>
    </w:p>
    <w:p w:rsidR="00CD0522" w:rsidRPr="00CD0522" w:rsidRDefault="00CD0522" w:rsidP="00CD0522">
      <w:pPr>
        <w:numPr>
          <w:ilvl w:val="0"/>
          <w:numId w:val="5"/>
        </w:numPr>
        <w:spacing w:before="105" w:after="105" w:line="240" w:lineRule="auto"/>
        <w:ind w:left="300"/>
        <w:jc w:val="both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CD0522">
        <w:rPr>
          <w:rFonts w:ascii="inherit" w:hAnsi="inherit" w:cs="Arial"/>
          <w:color w:val="2B2B2B"/>
          <w:sz w:val="26"/>
          <w:szCs w:val="26"/>
          <w:lang w:val="ru-RU"/>
        </w:rPr>
        <w:t>Почему при определении деформаций растянутого образца используют два тензометра?</w:t>
      </w:r>
    </w:p>
    <w:p w:rsidR="00D96E07" w:rsidRDefault="00D96E07" w:rsidP="00CD05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CD05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2FB5" w:rsidRPr="008A2FB5" w:rsidRDefault="008A2FB5" w:rsidP="00CD05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A2FB5" w:rsidRPr="008A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63F3"/>
    <w:multiLevelType w:val="multilevel"/>
    <w:tmpl w:val="3DB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BF1A1A"/>
    <w:multiLevelType w:val="multilevel"/>
    <w:tmpl w:val="0A84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AE01D4"/>
    <w:multiLevelType w:val="multilevel"/>
    <w:tmpl w:val="C4A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E42394"/>
    <w:multiLevelType w:val="multilevel"/>
    <w:tmpl w:val="15BE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2443E"/>
    <w:multiLevelType w:val="multilevel"/>
    <w:tmpl w:val="957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07"/>
    <w:rsid w:val="002F00D3"/>
    <w:rsid w:val="003B441E"/>
    <w:rsid w:val="008007C0"/>
    <w:rsid w:val="008A2FB5"/>
    <w:rsid w:val="00CD0522"/>
    <w:rsid w:val="00D96E07"/>
    <w:rsid w:val="00DD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4BB2"/>
  <w15:chartTrackingRefBased/>
  <w15:docId w15:val="{5AF24FE4-698C-4E76-BBBA-811EAF07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07"/>
    <w:pPr>
      <w:spacing w:after="200" w:line="276" w:lineRule="auto"/>
    </w:pPr>
    <w:rPr>
      <w:rFonts w:eastAsiaTheme="minorEastAsia"/>
      <w:lang w:val="en-US"/>
    </w:rPr>
  </w:style>
  <w:style w:type="paragraph" w:styleId="2">
    <w:name w:val="heading 2"/>
    <w:basedOn w:val="a"/>
    <w:link w:val="20"/>
    <w:uiPriority w:val="9"/>
    <w:qFormat/>
    <w:rsid w:val="00D9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96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26" Type="http://schemas.openxmlformats.org/officeDocument/2006/relationships/hyperlink" Target="https://isopromat.ru/sopromat/teoria/diagramma-rastyazhen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sopromat.ru/sopromat/labs/tenzometr-aistov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sopromat.ru/sopromat/teoria/modul-unga" TargetMode="External"/><Relationship Id="rId12" Type="http://schemas.openxmlformats.org/officeDocument/2006/relationships/hyperlink" Target="https://isopromat.ru/glossary/poperechnoe-sechenie" TargetMode="External"/><Relationship Id="rId17" Type="http://schemas.openxmlformats.org/officeDocument/2006/relationships/hyperlink" Target="https://isopromat.ru/glossary/deformacii" TargetMode="External"/><Relationship Id="rId25" Type="http://schemas.openxmlformats.org/officeDocument/2006/relationships/hyperlink" Target="https://isopromat.ru/sopromat/labs/tenzometr-aistova" TargetMode="External"/><Relationship Id="rId33" Type="http://schemas.openxmlformats.org/officeDocument/2006/relationships/hyperlink" Target="https://isopromat.ru/sopromat/teoria/diagramma-napryazhenij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opromat.ru/sopromat/teoria/mehanicheskie-harakteristiki-materialov" TargetMode="External"/><Relationship Id="rId20" Type="http://schemas.openxmlformats.org/officeDocument/2006/relationships/hyperlink" Target="https://isopromat.ru/sopromat/labs/ispytatelnye-mashiny/r-5" TargetMode="Externa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isopromat.ru/glossary/zakon-guka" TargetMode="External"/><Relationship Id="rId11" Type="http://schemas.openxmlformats.org/officeDocument/2006/relationships/hyperlink" Target="https://isopromat.ru/sopromat/teoria/rastyazhenie-szhatie" TargetMode="External"/><Relationship Id="rId24" Type="http://schemas.openxmlformats.org/officeDocument/2006/relationships/hyperlink" Target="https://isopromat.ru/sopromat/labs/ispytatelnye-mashiny/r-5" TargetMode="External"/><Relationship Id="rId32" Type="http://schemas.openxmlformats.org/officeDocument/2006/relationships/hyperlink" Target="https://isopromat.ru/sopromat/obzornyj-kurs-teorii/napryazhennoe-sostoyanie-glavnye-napryazenia-gipotezy-procnosti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sopromat.ru/sopromat/teoria/modul-unga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5.png"/><Relationship Id="rId10" Type="http://schemas.openxmlformats.org/officeDocument/2006/relationships/hyperlink" Target="https://isopromat.ru/glossary/deformacii/absolutnye" TargetMode="External"/><Relationship Id="rId19" Type="http://schemas.openxmlformats.org/officeDocument/2006/relationships/hyperlink" Target="https://isopromat.ru/glossary/napryazhenie" TargetMode="External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isopromat.ru/sopromat/labs/ispytanie-materialov-na-szatie" TargetMode="External"/><Relationship Id="rId14" Type="http://schemas.openxmlformats.org/officeDocument/2006/relationships/hyperlink" Target="https://isopromat.ru/glossary/sterzhen" TargetMode="External"/><Relationship Id="rId22" Type="http://schemas.openxmlformats.org/officeDocument/2006/relationships/hyperlink" Target="https://isopromat.ru/sopromat/teoria/predel-proporcionalnosti" TargetMode="External"/><Relationship Id="rId27" Type="http://schemas.openxmlformats.org/officeDocument/2006/relationships/hyperlink" Target="https://isopromat.ru/glossary/deformacii/absolutnye" TargetMode="External"/><Relationship Id="rId30" Type="http://schemas.openxmlformats.org/officeDocument/2006/relationships/hyperlink" Target="https://isopromat.ru/sopromat/kratkij-spravochnik/harakteristiki-materialov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sopromat.ru/sopromat/labs/ispytanie-na-rastyaz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2024-05-19T17:17:00Z</dcterms:created>
  <dcterms:modified xsi:type="dcterms:W3CDTF">2024-05-19T17:19:00Z</dcterms:modified>
</cp:coreProperties>
</file>