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97739" w14:textId="77777777" w:rsidR="00BF138E" w:rsidRDefault="00BF138E" w:rsidP="00BF138E">
      <w:pPr>
        <w:pStyle w:val="1"/>
        <w:widowControl w:val="0"/>
        <w:rPr>
          <w:sz w:val="28"/>
          <w:szCs w:val="28"/>
        </w:rPr>
      </w:pPr>
      <w:bookmarkStart w:id="0" w:name="_Toc243217846"/>
      <w:r>
        <w:rPr>
          <w:sz w:val="28"/>
          <w:szCs w:val="28"/>
        </w:rPr>
        <w:t>Тема 16. Архитектура международного научного взаимодействия. Глобализация науки и образования: вызовы и потери. Болонская система: универсализация vs локальные издержки. Международные премии как институт академического влияния</w:t>
      </w:r>
      <w:bookmarkEnd w:id="0"/>
    </w:p>
    <w:p w14:paraId="469FAEC2" w14:textId="77777777" w:rsidR="00BF138E" w:rsidRDefault="00BF138E" w:rsidP="00BF138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847"/>
      <w:r>
        <w:rPr>
          <w:sz w:val="28"/>
          <w:szCs w:val="28"/>
        </w:rPr>
        <w:t>16.1. Инфраструктура международного научного взаимодействия</w:t>
      </w:r>
      <w:bookmarkEnd w:id="1"/>
    </w:p>
    <w:p w14:paraId="77001546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Инфраструктура международного научного взаимодействия – совокупность организационных, правовых, финансовых и материально-технических механизмов, обеспечивающих совместную исследовательскую деятельность учёных, научных коллективов и государств. Концепция международного научно-технического сотрудничества Российской Федерации (утверждена в 2025 году) определяет его как комплекс совместных мероприятий, работ, отношений и форм взаимодействия на международном уровне в целях получения новых знаний, развития технологий и формирования уникальных компетенций.  </w:t>
      </w:r>
    </w:p>
    <w:p w14:paraId="593D2599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Инфраструктура МНТС охватывает полный инновационный цикл – от фундаментальных исследований до реализации высокотехнологичной продукции – и действует на трёх уровнях: глобальном, федеральном и региональном.  </w:t>
      </w:r>
    </w:p>
    <w:p w14:paraId="19D85280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Элементы инфраструктуры</w:t>
      </w:r>
    </w:p>
    <w:p w14:paraId="1AE1ABE7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Исследовательская инфраструктура.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Ключевой элемент – уникальные научные установки класса «мегасайенс» (ЦЕРН, ОИЯИ, МКС), доступ к которым невозможен в рамках одного государства. Концепция 2025 года предусматривает проактивный подход к локализации таких объектов на территории России, а также расширение доступа российских учёных к зарубежной инфраструктуре.  </w:t>
      </w:r>
    </w:p>
    <w:p w14:paraId="5E8C879F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Цифровая инфраструктура.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Базы данных, центры обработки больших данных, распределённые вычислительные сети, дистанционные лаборатории. Цифровые форматы (виртуальная мобильность, онлайн-конференции) снижают барьеры участия, но не заменяют физическую работу на мегасайенс-установках.  </w:t>
      </w:r>
    </w:p>
    <w:p w14:paraId="503BBC46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Инновационно-технологическая инфраструктура.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Технопарки, центры коллективного пользования, центры трансфера технологий, инжиниринговые центры, технологические платформы, инновационно-промышленные комплексы наукоградов.  </w:t>
      </w:r>
    </w:p>
    <w:p w14:paraId="1EB29748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Информационная инфраструктура.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Международные базы научных публикаций (Scopus, Web of Science), системы цитирования, репозитории открытого доступа, научные социальные сети (ResearchGate, ORCID). Концепция предусматривает развитие международной публикационной активности, включая соавторство с иностранными учёными.  </w:t>
      </w:r>
    </w:p>
    <w:p w14:paraId="4462746E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Нормативно-правовая инфраструктура.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Межгосударственные и межведомственные соглашения, типовые договоры о НИОКР, лицензионные соглашения, механизмы патентования и защиты интеллектуальной собственности за рубежом.  </w:t>
      </w:r>
    </w:p>
    <w:p w14:paraId="1019808C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Сетевые формы взаимодействия.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Глобальные распределённые исследовательские коллективы, интернациональные профессиональные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сообщества, комплементарные и симметричные лаборатории в странах-партнёрах.  </w:t>
      </w:r>
    </w:p>
    <w:p w14:paraId="3D653381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Научная дипломатия как элемент инфраструктуры</w:t>
      </w:r>
    </w:p>
    <w:p w14:paraId="6E75C1FD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Концепция 2025 года определяет научную дипломатию как особую форму МНТС, относящуюся к публичной дипломатии – систему взаимодействия учёных и научных организаций, взаимосвязанную с деятельностью органов власти. К её механизмам относятся: атташе по науке при посольствах, деятельность Россотрудничества, научные форсайт-сессии с зарубежными партнёрами, формирование международных экспертных центров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  </w:t>
      </w:r>
    </w:p>
    <w:p w14:paraId="369FF6DB" w14:textId="77777777" w:rsidR="00BF138E" w:rsidRDefault="00BF138E" w:rsidP="00BF138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848"/>
      <w:r>
        <w:rPr>
          <w:sz w:val="28"/>
          <w:szCs w:val="28"/>
        </w:rPr>
        <w:t>16.2. Глобализация образования и науки: сущность, проявления и издержки</w:t>
      </w:r>
      <w:bookmarkEnd w:id="2"/>
    </w:p>
    <w:p w14:paraId="31CDF16C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Глобализация образования – процесс расширения сферы деятельности университетов за пределы национальных систем, развития международных образовательных и научных связей, приведения деятельности вузов в соответствие с международными нормами. Основные проявления: возникновение глобального рынка образования; рост академической мобильности студентов и преподавателей; стандартизация и гармонизация образовательных процессов; распространение английского языка как средства академической коммуникации; развитие дистанционного обучения и ИКТ.  </w:t>
      </w:r>
    </w:p>
    <w:p w14:paraId="44B3891C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Позитивные последствия</w:t>
      </w:r>
    </w:p>
    <w:p w14:paraId="369FDEF3" w14:textId="77777777" w:rsidR="00BF138E" w:rsidRDefault="00BF138E" w:rsidP="00BF138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Увеличение возможностей для выхода на зарубежные рынки образовательных услуг (филиалы, представительств).  </w:t>
      </w:r>
    </w:p>
    <w:p w14:paraId="2E38D9B5" w14:textId="77777777" w:rsidR="00BF138E" w:rsidRDefault="00BF138E" w:rsidP="00BF138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Усиление мобильности, обмен передовыми практиками и технологиями.</w:t>
      </w:r>
    </w:p>
    <w:p w14:paraId="5604CEE4" w14:textId="77777777" w:rsidR="00BF138E" w:rsidRDefault="00BF138E" w:rsidP="00BF138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Повышение сопоставимости образовательных программ и качества образования.  </w:t>
      </w:r>
    </w:p>
    <w:p w14:paraId="1181EE60" w14:textId="77777777" w:rsidR="00BF138E" w:rsidRDefault="00BF138E" w:rsidP="00BF138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навыков межкультурной коммуникации у выпускников.</w:t>
      </w:r>
    </w:p>
    <w:p w14:paraId="40A2A1C8" w14:textId="77777777" w:rsidR="00BF138E" w:rsidRDefault="00BF138E" w:rsidP="00BF138E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Создание глобальной образовательной сети для решения мировых проблем (изменение климата, пандемии).  </w:t>
      </w:r>
    </w:p>
    <w:p w14:paraId="3A254561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Издержки и риски</w:t>
      </w:r>
    </w:p>
    <w:p w14:paraId="42E37E45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«Утечка умов».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Талантливые специалисты и студенты покидают родные страны в поисках лучших условий. Выигрывают социумы, способные предложить наибольшие ресурсы, что закрепляет неравенство между развитыми и остальными странами.  </w:t>
      </w:r>
    </w:p>
    <w:p w14:paraId="2C6FE35A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Утрата национальной идентичности.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Унификация образовательных систем разрушает национальные приоритеты и навязывает интересы экономически сильных стран. Под влиянием более мощной технологической культуры происходит потеря интереса к своему языку и культуре.  </w:t>
      </w:r>
    </w:p>
    <w:p w14:paraId="5B71B5B5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Коммерциализация образования.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Рынок начинает определять задачи образования, вытесняя государство. Взаимоотношения учащихся и вузов превращаются в потребительские. В условиях приватизации доступ к образованию сужается для значительной части граждан.  </w:t>
      </w:r>
    </w:p>
    <w:p w14:paraId="3454BB91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Неравенство доступа.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Студенты в развивающихся странах ограничены в доступе к интернету и технологиям, что усугубляет разрыв.  </w:t>
      </w:r>
    </w:p>
    <w:p w14:paraId="31AC8936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Ориентация на рейтинги.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Университеты концентрируются на маркетинге и привлечении ресурсов в ущерб качеству обучения и фундаментальным исследованиям.  </w:t>
      </w:r>
    </w:p>
    <w:p w14:paraId="4318A6CC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Бюрократизация науки.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Усиление государственного контроля связано с триумфом науки, но ведёт к утрате автономии и замедлению темпов развития.  </w:t>
      </w:r>
    </w:p>
    <w:p w14:paraId="23C3B335" w14:textId="77777777" w:rsidR="00BF138E" w:rsidRDefault="00BF138E" w:rsidP="00BF138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849"/>
      <w:r>
        <w:rPr>
          <w:sz w:val="28"/>
          <w:szCs w:val="28"/>
        </w:rPr>
        <w:t>16.3. Болонская система: универсализация и издержки</w:t>
      </w:r>
      <w:bookmarkEnd w:id="3"/>
    </w:p>
    <w:p w14:paraId="25BEBC97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Болонский процесс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соглашение европейских стран о стандартах высшего образования, начатое подписанием Болонской декларации в 1999 году. Главные цели: формирование общеевропейского пространства высшего образования, обеспечение сопоставимости дипломов и программ, повышение академической мобильности, трудоустройства выпускников. Базовые принципы: двухуровневая система (бакалавриат – магистратура), система кредитов ECTS, модульная организация, обеспечение качества, социальная привлекательность.  </w:t>
      </w:r>
    </w:p>
    <w:p w14:paraId="2155B982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Россия присоединилась к Болонскому процессу в 2003 году. Целью была интеграция в европейское образовательное пространство, повышение привлекательности российского образования для иностранцев, укрепление позиций на мировом рынке образовательных услуг.  </w:t>
      </w:r>
    </w:p>
    <w:p w14:paraId="70BA8318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Издержки и проблемы реализации в России</w:t>
      </w:r>
    </w:p>
    <w:p w14:paraId="3E442BE0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Недостаточность четырёх лет бакалавриата.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инженерных, педагогических и медицинских специальностей четырёхлетнего обучения недостаточно для сохранения фундаментальной базы и качественной практики. Работодатели нередко воспринимали диплом бакалавра как «неполное высшее».  </w:t>
      </w:r>
    </w:p>
    <w:p w14:paraId="58540977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Формальный характер реформ.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Учебные программы не были полноценно приведены в соответствие европейским, возникли трудности с системой кредитов ECTS, не получили распространения индивидуальные гибкие планы обучения.  </w:t>
      </w:r>
    </w:p>
    <w:p w14:paraId="2AFBF2F2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Проблемы мобильности.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Долговременная мобильность развивалась слабо: языковые барьеры, низкое финансирование, различия в академических календарях, обременительные процедуры признания.  </w:t>
      </w:r>
    </w:p>
    <w:p w14:paraId="1EA40A27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Усиление «утечки мозгов».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Болонский процесс мог превратиться в узаконенный отток талантливой молодёжи за пределы России, поскольку страны ЕС не были заинтересованы в развитии высоких технологий в РФ.  </w:t>
      </w:r>
    </w:p>
    <w:p w14:paraId="162644A6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Снижение качества через тестирование.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Тестовая система контроля (ЕГЭ) подменяла привычный экзамен, не стимулировала творческую активность, втискивала базовые понятия в «чёрно-белую логику».  </w:t>
      </w:r>
    </w:p>
    <w:p w14:paraId="55245CE9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Отсутствие автоматического признания.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Российские дипломы так и не получили беспрепятственного признания в Европе – даже внутри Болонского процесса решение принималось конкретной страной или университетом.  </w:t>
      </w:r>
    </w:p>
    <w:p w14:paraId="6F0D30DB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Выход России из Болонского процесса</w:t>
      </w:r>
    </w:p>
    <w:p w14:paraId="68183612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 2022 года начался поэтапный отказ от Болонской системы. Указом главы государства установлены новые уровни: базовое высшее (4-6 лет), специализированное высшее (1-3 года), аспирантура. Пилотный проект запущен в шести вузах; полный переход планируется к 2030 году.  </w:t>
      </w:r>
    </w:p>
    <w:p w14:paraId="03DF3BC4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Сохраняемое: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дипломы бакалавров и магистров действительны; бакалавриат сохранится на части направлений (гуманитарные, социально-экономические); возможность академической мобильности переориентируется на дружественные страны.  </w:t>
      </w:r>
    </w:p>
    <w:p w14:paraId="26047EE9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Риски выхода: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сокращение мобильности с Европой; сложности с нострификацией дипломов; финансовые и бюрократические издержки переработки стандартов; потеря гибкости смены профиля в магистратуре.  </w:t>
      </w:r>
    </w:p>
    <w:p w14:paraId="158566AC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Сохраняемые механизмы международного признания: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указание уровня по МСКО (Международная стандартная классификация образования), европейское приложение к диплому, межправительственные соглашения (74 договора о взаимном признании).  </w:t>
      </w:r>
    </w:p>
    <w:p w14:paraId="39C0868A" w14:textId="77777777" w:rsidR="00BF138E" w:rsidRDefault="00BF138E" w:rsidP="00BF138E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850"/>
      <w:r>
        <w:rPr>
          <w:sz w:val="28"/>
          <w:szCs w:val="28"/>
        </w:rPr>
        <w:t>16.4. Институт международных научных премий</w:t>
      </w:r>
      <w:bookmarkEnd w:id="4"/>
    </w:p>
    <w:p w14:paraId="29F61C7F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Международные научные премии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институт признания научных заслуг, выполняющий несколько функций: мотивационную (стимул для исследователей), репутационную (маркер качества для учёных и организаций), дипломатическую (инструмент научного диалога), популяризаторскую (привлечение общественного внимания к науке), инвестиционную (канал финансирования прорывных исследований).  </w:t>
      </w:r>
    </w:p>
    <w:p w14:paraId="61B00F19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Премии служат «внешней» оценкой качества деятельности научных кадров: около 1390 наград и знаков отличия используются Национальным научно-исследовательским советом США для оценки исследований. Престижные награды (Нобелевская, Филдсовская, Тьюринга, Ласкера) являются индикаторами прорывной науки и позволяют выявлять страны-лидеры.  </w:t>
      </w:r>
    </w:p>
    <w:p w14:paraId="3A401F8E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Классификация премий</w:t>
      </w:r>
    </w:p>
    <w:p w14:paraId="49074C86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 основанию учреждения:</w:t>
      </w:r>
    </w:p>
    <w:p w14:paraId="380F8486" w14:textId="77777777" w:rsidR="00BF138E" w:rsidRDefault="00BF138E" w:rsidP="00BF138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Государственная премия РФ в области науки и технологий (с 1992 года).  </w:t>
      </w:r>
    </w:p>
    <w:p w14:paraId="465BEC56" w14:textId="77777777" w:rsidR="00BF138E" w:rsidRDefault="00BF138E" w:rsidP="00BF138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Негосударственные / частные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Нобелевская премия (с 1901 года, учреждена по завещанию А. Нобеля); премия Шао (Гонконг); премия Киото (Япония, Кадзуо Инамори).  </w:t>
      </w:r>
    </w:p>
    <w:p w14:paraId="4F86690C" w14:textId="77777777" w:rsidR="00BF138E" w:rsidRDefault="00BF138E" w:rsidP="00BF138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Бизнес-премии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научная премия Сбера, национальная премия «ВЫЗОВ» (соучредитель – Газпромбанк).  </w:t>
      </w:r>
    </w:p>
    <w:p w14:paraId="7278C7F9" w14:textId="77777777" w:rsidR="00BF138E" w:rsidRDefault="00BF138E" w:rsidP="00BF138E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Международные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премия ЮНЕСКО-России имени Д.И. Менделеева.  </w:t>
      </w:r>
    </w:p>
    <w:p w14:paraId="1E9C9AC3" w14:textId="77777777" w:rsidR="00BF138E" w:rsidRDefault="00BF138E" w:rsidP="00BF138E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8E9F5B1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 7</w:t>
      </w:r>
    </w:p>
    <w:p w14:paraId="428372C0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Классификация премий по научным областям</w:t>
      </w:r>
    </w:p>
    <w:tbl>
      <w:tblPr>
        <w:tblStyle w:val="-53"/>
        <w:tblW w:w="0" w:type="auto"/>
        <w:tblInd w:w="0" w:type="dxa"/>
        <w:tblLook w:val="04A0" w:firstRow="1" w:lastRow="0" w:firstColumn="1" w:lastColumn="0" w:noHBand="0" w:noVBand="1"/>
      </w:tblPr>
      <w:tblGrid>
        <w:gridCol w:w="1910"/>
        <w:gridCol w:w="3456"/>
        <w:gridCol w:w="1238"/>
        <w:gridCol w:w="2741"/>
      </w:tblGrid>
      <w:tr w:rsidR="00BF138E" w14:paraId="19EF4D08" w14:textId="77777777" w:rsidTr="00BF1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FFFFFF" w:themeColor="background1"/>
            </w:tcBorders>
            <w:hideMark/>
          </w:tcPr>
          <w:p w14:paraId="47D5F582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Премия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76385A2F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Область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6AE8B4BB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7C6A6D48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Учредитель</w:t>
            </w:r>
          </w:p>
        </w:tc>
      </w:tr>
      <w:tr w:rsidR="00BF138E" w14:paraId="5114564C" w14:textId="77777777" w:rsidTr="00BF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C6AF8B6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Нобелевская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ED4188F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Физика, химия, медицина, литература, мир, экономика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9BF19DD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~$1 млн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3500D20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Фонд Нобеля</w:t>
            </w:r>
          </w:p>
        </w:tc>
      </w:tr>
      <w:tr w:rsidR="00BF138E" w14:paraId="7AEE505E" w14:textId="77777777" w:rsidTr="00BF1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43F7B00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Филдсовская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25E7D39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(до 40 лет)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DF6E5D2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~$10 тыс.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3DB9BA1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Международный матем. союз</w:t>
            </w:r>
          </w:p>
        </w:tc>
      </w:tr>
      <w:tr w:rsidR="00BF138E" w14:paraId="6A74190C" w14:textId="77777777" w:rsidTr="00BF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38E2108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Абелевская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E96058D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C5FBD4C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~$873 тыс.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FEE0CF5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Правительство Норвегии</w:t>
            </w:r>
          </w:p>
        </w:tc>
      </w:tr>
      <w:tr w:rsidR="00BF138E" w14:paraId="452E5B70" w14:textId="77777777" w:rsidTr="00BF1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2F1DFEB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Тьюринга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427E5D5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9A8DD58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~$1 млн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E4055F5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ACM (США)</w:t>
            </w:r>
          </w:p>
        </w:tc>
      </w:tr>
      <w:tr w:rsidR="00BF138E" w14:paraId="2E55D4F3" w14:textId="77777777" w:rsidTr="00BF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E76C3D0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Киото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4D42BA29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Наука, технологии, искусство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3EC8832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~$680 тыс.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4319CB6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Фонд Инамори (Япония)</w:t>
            </w:r>
          </w:p>
        </w:tc>
      </w:tr>
      <w:tr w:rsidR="00BF138E" w14:paraId="10A7E6F7" w14:textId="77777777" w:rsidTr="00BF1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DD7383C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Вольфа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49513FD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Медицина, химия, физика, математика, искусство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62CA19B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~$100 тыс.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940A934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Фонд Вольфа (Израиль)</w:t>
            </w:r>
          </w:p>
        </w:tc>
      </w:tr>
      <w:tr w:rsidR="00BF138E" w14:paraId="0ED31D8B" w14:textId="77777777" w:rsidTr="00BF1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454589E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Ласкера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02D8526F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Медицина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FDF262B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EC82227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Фонд Ласкера (США)</w:t>
            </w:r>
          </w:p>
        </w:tc>
      </w:tr>
      <w:tr w:rsidR="00BF138E" w14:paraId="73058A7B" w14:textId="77777777" w:rsidTr="00BF1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4211C36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«Прорыв»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15441EBC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Физика, науки о жизни, математика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715BC0F9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$3 млн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80716E0" w14:textId="77777777" w:rsidR="00BF138E" w:rsidRDefault="00BF138E">
            <w:pPr>
              <w:widowControl w:val="0"/>
              <w:adjustRightInd w:val="0"/>
              <w:snapToGri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Фонд Юрия Мильнера</w:t>
            </w:r>
          </w:p>
        </w:tc>
      </w:tr>
    </w:tbl>
    <w:p w14:paraId="369E7B3C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8EA6BA9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Премии как инструмент научной дипломатии</w:t>
      </w:r>
    </w:p>
    <w:p w14:paraId="54311B71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Научные премии сегодня – не только поощрение заслуг, но и важный инструмент международного научного диалога. Премия ЮНЕСКО-России имени Менделеева, учреждённая в 2019 году, объединяет лауреатов «Нобелевского уровня» из разных стран. Премия «ВЫЗОВ» (с 2023 года) ориентирована на прикладные исследования в области будущих технологий и привлечение иностранных инвестиций из дружественных стран.  </w:t>
      </w:r>
    </w:p>
    <w:p w14:paraId="7AF6B15D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Премии создают технологический задел: государственные и частные инвестиции направлены не только на покрытие текущих потребностей, но и на формирование преимуществ в международном пространстве на будущие годы.  </w:t>
      </w:r>
    </w:p>
    <w:p w14:paraId="64FF2B87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Роль IREG Observatory</w:t>
      </w:r>
    </w:p>
    <w:p w14:paraId="2C35C5DE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IREG Observatory «Список международных научных наград» систематизирует 207 премий, сгруппированных по направлениям. Награды присуждаются независимо от пола, расы, этнических, языковых и национальных признаков, религиозных и политических убеждений. Премии служат индикатором исследовательской активности и позволяют ранжировать организации и страны по уровню научных достижений.  </w:t>
      </w:r>
    </w:p>
    <w:p w14:paraId="25F497BD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6DE914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Инфраструктура международного научного взаимодействия – многоуровневая система, включающая исследовательские установки мегасайенс-класса, цифровую и инновационно-технологическую инфраструктуру, нормативно-правовые механизмы и сетевые формы кооперации. Глобализация образования и науки приносит несомненные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выгоды – мобильность, обмен знаниями, сопоставимость стандартов – но сопровождается серьёзными издержками: утечкой умов, утратой национальной идентичности, коммерциализацией, усилением неравенства.</w:t>
      </w:r>
    </w:p>
    <w:p w14:paraId="1A937FAE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Болонская система, задуманная как инструмент интеграции, в российских условиях во многом носила формальный характер и не обеспечила автоматического признания дипломов. Переход к новой модели высшего образования (с 2026 года) сохраняет отдельные принципы Болонской системы, но ставит во главу угла квалификацию выпускника и потребности национальной экономики.</w:t>
      </w:r>
    </w:p>
    <w:p w14:paraId="279600C4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Международные научные премии – от Нобелевской до национальной премии «ВЫЗОВ» – выполняют роль не только признания заслуг, но и инструмента научной дипломатии, канала трансфера технологий и маркера позиционирования страны в глобальном научном пространстве. В условиях геополитической напряжённости именно такие институты способны сохранять каналы диалога и поддерживать открытость науки как глобального блага.</w:t>
      </w:r>
    </w:p>
    <w:p w14:paraId="40A82EC7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175E64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0E8CCA7E" w14:textId="77777777" w:rsidR="00BF138E" w:rsidRDefault="00BF138E" w:rsidP="00BF138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Перечислите шесть основных элементов инфраструктуры международного научного взаимодействия и раскройте их содержание. </w:t>
      </w:r>
    </w:p>
    <w:p w14:paraId="4A410509" w14:textId="77777777" w:rsidR="00BF138E" w:rsidRDefault="00BF138E" w:rsidP="00BF138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Сравните позитивные последствия и издержки глобализации образования и науки. </w:t>
      </w:r>
    </w:p>
    <w:p w14:paraId="3B6B0C20" w14:textId="77777777" w:rsidR="00BF138E" w:rsidRDefault="00BF138E" w:rsidP="00BF138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Опишите цели Болонской системы и причины, по которым Россия в 2003 году присоединилась к процессу. </w:t>
      </w:r>
    </w:p>
    <w:p w14:paraId="14BD0A02" w14:textId="77777777" w:rsidR="00BF138E" w:rsidRDefault="00BF138E" w:rsidP="00BF138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Классифицируйте международные научные премии по основанию учреждения (государственные, частные, бизнес-премии, международных организаций) и приведите по одному примеру каждого типа. </w:t>
      </w:r>
    </w:p>
    <w:p w14:paraId="3335B529" w14:textId="77777777" w:rsidR="00BF138E" w:rsidRDefault="00BF138E" w:rsidP="00BF138E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Проанализируйте взаимосвязь между тремя блоками лекции: инфраструктурой, глобализацией и научными премиями. </w:t>
      </w:r>
    </w:p>
    <w:p w14:paraId="2E73B5D8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13F20B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«Создание международной лаборатории по климатическим исследованиям в СФУ»</w:t>
      </w:r>
    </w:p>
    <w:p w14:paraId="203949EB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СФУ хочет создать международную лабораторию по климату (углеродный баланс, климатические риски). Партнёры – Китай, Индия, Бразилия. Есть метеостанция, небольшой вычислительный кластер, опыт в российских грантах, но нет опыта в международных мегапроектах.</w:t>
      </w:r>
    </w:p>
    <w:p w14:paraId="50D57F82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Проблема: </w:t>
      </w:r>
      <w:r>
        <w:rPr>
          <w:rFonts w:ascii="Times New Roman" w:eastAsia="Times New Roman" w:hAnsi="Times New Roman" w:cs="Times New Roman"/>
          <w:sz w:val="28"/>
          <w:szCs w:val="28"/>
        </w:rPr>
        <w:t>Нужно выбрать модель интеграции с учётом ограниченного бюджета на командировки, потребности в мощных вычислениях и спутниковых данных, требований к публикациям и ограничений на мобильность учёных.</w:t>
      </w:r>
    </w:p>
    <w:p w14:paraId="29896E7A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Варианты</w:t>
      </w:r>
    </w:p>
    <w:p w14:paraId="18600667" w14:textId="77777777" w:rsidR="00BF138E" w:rsidRDefault="00BF138E" w:rsidP="00BF138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Виртуальная распределённая лаборатория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(ядро в СФУ): удалённая работа, общие базы и цифровые платформы, встречи – раз в год, вычисления – через партнёрские ЦОДы/облака.</w:t>
      </w:r>
    </w:p>
    <w:p w14:paraId="36E26D38" w14:textId="77777777" w:rsidR="00BF138E" w:rsidRDefault="00BF138E" w:rsidP="00BF138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Участие в консорциуме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(например, под эгидой ISC или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БРИКС): доступ к общим протоколам, данным, совместным грантам; нужно соответствовать стандартам.</w:t>
      </w:r>
    </w:p>
    <w:p w14:paraId="2784C1FB" w14:textId="77777777" w:rsidR="00BF138E" w:rsidRDefault="00BF138E" w:rsidP="00BF138E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«Зеркальная лаборатория»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одним из партнёров: две независимые лаборатории с идентичными методиками, обмен стажёрами и данными, совместные публикации.</w:t>
      </w:r>
    </w:p>
    <w:p w14:paraId="2B127C59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</w:p>
    <w:p w14:paraId="7F3924B7" w14:textId="77777777" w:rsidR="00BF138E" w:rsidRDefault="00BF138E" w:rsidP="00BF138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каждого варианта определите: ключевую инфраструктуру, форму научной дипломатии и возможные издержки глобализации (с мерами минимизации).</w:t>
      </w:r>
    </w:p>
    <w:p w14:paraId="4E427E22" w14:textId="77777777" w:rsidR="00BF138E" w:rsidRDefault="00BF138E" w:rsidP="00BF138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Оцените варианты по 4 критериям (скорость запуска, стоимость, качество данных, публикационный потенциал) – в виде краткой таблицы с 1-2 предложениями обоснования для каждой ячейки.</w:t>
      </w:r>
    </w:p>
    <w:p w14:paraId="67EDCFB7" w14:textId="77777777" w:rsidR="00BF138E" w:rsidRDefault="00BF138E" w:rsidP="00BF138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Выберите приоритетный вариант и обоснуйте с учётом сильных и слабых сторон СФУ и приоритетов партнёров.</w:t>
      </w:r>
    </w:p>
    <w:p w14:paraId="294698DE" w14:textId="77777777" w:rsidR="00BF138E" w:rsidRDefault="00BF138E" w:rsidP="00BF138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Предложите план запуска на 6 месяцев (4-5 ключевых шагов) с указанием задействованной инфраструктуры.</w:t>
      </w:r>
    </w:p>
    <w:p w14:paraId="14633A05" w14:textId="77777777" w:rsidR="00BF138E" w:rsidRDefault="00BF138E" w:rsidP="00BF138E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Назовите 1-2 премии, на которые проект мог бы претендовать через 2-3 года, и 1-2 показателя результативности для фиксации уже в первые 6 месяцев.</w:t>
      </w:r>
    </w:p>
    <w:p w14:paraId="3DB57C3A" w14:textId="77777777" w:rsidR="00BF138E" w:rsidRDefault="00BF138E" w:rsidP="00BF138E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B8F90" w14:textId="77777777" w:rsidR="00EE6D74" w:rsidRDefault="00EE6D74"/>
    <w:sectPr w:rsidR="00EE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09C00" w14:textId="77777777" w:rsidR="00BF138E" w:rsidRDefault="00BF138E" w:rsidP="00BF138E">
      <w:pPr>
        <w:spacing w:after="0" w:line="240" w:lineRule="auto"/>
      </w:pPr>
      <w:r>
        <w:separator/>
      </w:r>
    </w:p>
  </w:endnote>
  <w:endnote w:type="continuationSeparator" w:id="0">
    <w:p w14:paraId="112671A8" w14:textId="77777777" w:rsidR="00BF138E" w:rsidRDefault="00BF138E" w:rsidP="00BF1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ED014" w14:textId="77777777" w:rsidR="00BF138E" w:rsidRDefault="00BF138E" w:rsidP="00BF138E">
      <w:pPr>
        <w:spacing w:after="0" w:line="240" w:lineRule="auto"/>
      </w:pPr>
      <w:r>
        <w:separator/>
      </w:r>
    </w:p>
  </w:footnote>
  <w:footnote w:type="continuationSeparator" w:id="0">
    <w:p w14:paraId="0ED50596" w14:textId="77777777" w:rsidR="00BF138E" w:rsidRDefault="00BF138E" w:rsidP="00BF138E">
      <w:pPr>
        <w:spacing w:after="0" w:line="240" w:lineRule="auto"/>
      </w:pPr>
      <w:r>
        <w:continuationSeparator/>
      </w:r>
    </w:p>
  </w:footnote>
  <w:footnote w:id="1">
    <w:p w14:paraId="41239B91" w14:textId="77777777" w:rsidR="00BF138E" w:rsidRDefault="00BF138E" w:rsidP="00BF138E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Концепция международного научно-технического сотрудничества Российской Федерации // file:///C:/Users/Lars/Downloads/Report_57_04.10.2026%20(2).pdf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6651E"/>
    <w:multiLevelType w:val="hybridMultilevel"/>
    <w:tmpl w:val="F92C9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617CF9"/>
    <w:multiLevelType w:val="hybridMultilevel"/>
    <w:tmpl w:val="55504B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D30A65"/>
    <w:multiLevelType w:val="hybridMultilevel"/>
    <w:tmpl w:val="CA745E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61600A"/>
    <w:multiLevelType w:val="hybridMultilevel"/>
    <w:tmpl w:val="6B1C9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CE7CDC"/>
    <w:multiLevelType w:val="hybridMultilevel"/>
    <w:tmpl w:val="8B8E41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8E"/>
    <w:rsid w:val="00BF138E"/>
    <w:rsid w:val="00EE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4AF7D"/>
  <w15:chartTrackingRefBased/>
  <w15:docId w15:val="{6E8DFAC3-CF67-462B-8CDA-F35E11E1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38E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BF138E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38E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38E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F138E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BF138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F138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F138E"/>
    <w:rPr>
      <w:vertAlign w:val="superscript"/>
    </w:rPr>
  </w:style>
  <w:style w:type="table" w:styleId="-53">
    <w:name w:val="Grid Table 5 Dark Accent 3"/>
    <w:basedOn w:val="a1"/>
    <w:uiPriority w:val="50"/>
    <w:rsid w:val="00BF138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2225</Words>
  <Characters>12685</Characters>
  <Application>Microsoft Office Word</Application>
  <DocSecurity>0</DocSecurity>
  <Lines>105</Lines>
  <Paragraphs>29</Paragraphs>
  <ScaleCrop>false</ScaleCrop>
  <Company/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2026-10-28T19:50:00Z</dcterms:created>
  <dcterms:modified xsi:type="dcterms:W3CDTF">2026-10-28T19:50:00Z</dcterms:modified>
</cp:coreProperties>
</file>