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84C6B" w14:textId="77777777" w:rsidR="009C2395" w:rsidRDefault="009C2395" w:rsidP="009C2395">
      <w:pPr>
        <w:pStyle w:val="1"/>
        <w:widowControl w:val="0"/>
        <w:rPr>
          <w:sz w:val="28"/>
          <w:szCs w:val="28"/>
        </w:rPr>
      </w:pPr>
      <w:bookmarkStart w:id="0" w:name="_Toc243217840"/>
      <w:r>
        <w:rPr>
          <w:sz w:val="28"/>
          <w:szCs w:val="28"/>
        </w:rPr>
        <w:t>Тема 15. Организации международного научного взаимодействия</w:t>
      </w:r>
      <w:bookmarkEnd w:id="0"/>
    </w:p>
    <w:p w14:paraId="0C58944B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Международные организации научного взаимодействия – это институциональные формы координации совместной научно-исследовательской деятельности государств, научных сообществ и отдельных учёных. Они возникают там, где решение научных задач требует ресурсов, выходящих за пределы отдельного государства: финансирования мегапроектов, совместной инфраструктуры, унификации стандартов, обмена данными и кадрами.</w:t>
      </w:r>
    </w:p>
    <w:p w14:paraId="3D3DB89E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Международное научно-техническое сотрудничество (МНТС) осуществляется на нескольких иерархических уровнях: межгосударственном, региональном и национальном. Организационно-правовое сотрудничество обладает чёткой иерархией: более высокий уровень закреплён за международными организациями, более низкий – за программами в рамках созданных организаций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1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На каждом уровне действуют свои субъекты: правительства, академии наук, университеты, научные фонды, индивидуальные исследователи.  </w:t>
      </w:r>
    </w:p>
    <w:p w14:paraId="03E06828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Роль таких организаций особенно возрастает в условиях геополитической напряжённости, когда традиционные дипломатические каналы сужаются. Научная дипломатия – особая форма МНТС, представляющая систему взаимодействия учёных и научных коллективов, взаимосвязанную с деятельностью органов власти, – становится одним из немногих сохранившихся мостов между странами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2"/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3088971" w14:textId="77777777" w:rsidR="009C2395" w:rsidRDefault="009C2395" w:rsidP="009C2395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1" w:name="_Toc243217841"/>
      <w:r>
        <w:rPr>
          <w:sz w:val="28"/>
          <w:szCs w:val="28"/>
        </w:rPr>
        <w:t>15.1. Классификация международных научных организаций</w:t>
      </w:r>
      <w:bookmarkEnd w:id="1"/>
    </w:p>
    <w:p w14:paraId="098D95C3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Международные организации, выполняющие функции научного взаимодействия и научной дипломатии, классифицируются на организации общего и специального профиля.</w:t>
      </w:r>
    </w:p>
    <w:p w14:paraId="17B707EC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Организации общего профиля</w:t>
      </w:r>
    </w:p>
    <w:p w14:paraId="63B7B768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организациях общего профиля научное взаимодействие – косвенная функция. Ключевые представители:</w:t>
      </w:r>
    </w:p>
    <w:p w14:paraId="1A040659" w14:textId="77777777" w:rsidR="009C2395" w:rsidRDefault="009C2395" w:rsidP="009C2395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Организация Объединённых Наций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её структуры, прежде всего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ЮНЕСКО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специализированное учреждение ООН по вопросам образования, науки и культуры, созданное в 1945 году. ЮНЕСКО – единственное подразделение ООН, у которого науки вынесены в название. Организация координирует достижение Цели устойчивого развития № 4 – обеспечение всеобъемлющего и справедливого качественного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образования.  </w:t>
      </w:r>
    </w:p>
    <w:p w14:paraId="27743796" w14:textId="77777777" w:rsidR="009C2395" w:rsidRDefault="009C2395" w:rsidP="009C2395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Всемирная организация здравоохранения (ВОЗ)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координация международных исследований в области медицины и эпидемиологии.</w:t>
      </w:r>
    </w:p>
    <w:p w14:paraId="30853243" w14:textId="77777777" w:rsidR="009C2395" w:rsidRDefault="009C2395" w:rsidP="009C2395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Всемирный банк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финансирование научно-образовательных программ в развивающихся странах.</w:t>
      </w:r>
    </w:p>
    <w:p w14:paraId="00E5F3BC" w14:textId="77777777" w:rsidR="009C2395" w:rsidRDefault="009C2395" w:rsidP="009C2395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Организация экономического сотрудничества и развития (ОЭСР)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анализ образовательных и научных систем, международные сопоставления (PISA и др.).  </w:t>
      </w:r>
    </w:p>
    <w:p w14:paraId="10C41A0A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Организации специального профиля</w:t>
      </w:r>
    </w:p>
    <w:p w14:paraId="4E27A196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Организации специального профиля делятся на три типа.</w:t>
      </w:r>
    </w:p>
    <w:p w14:paraId="616EE66C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Первый тип – международные объекты исследовательской инфраструктуры (мегасайенс).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ним относятся:</w:t>
      </w:r>
    </w:p>
    <w:p w14:paraId="768AA72E" w14:textId="77777777" w:rsidR="009C2395" w:rsidRDefault="009C2395" w:rsidP="009C2395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ЦЕРН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(Европейская организация по ядерным исследованиям) – крупнейший в мире центр физики высоких энергий. Объединяет учёных из более чем 100 стран.</w:t>
      </w:r>
    </w:p>
    <w:p w14:paraId="403C89C5" w14:textId="77777777" w:rsidR="009C2395" w:rsidRDefault="009C2395" w:rsidP="009C2395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Объединённый институт ядерных исследований (ОИЯИ)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международная межправительственная организация, headquartered в Дубне (Россия). ОИЯИ поддерживает связи более чем с 800 научными центрами и университетами в 62 странах мира, имеет статус наблюдателя в ЦЕРН (и наоборот – ЦЕРН в ОИЯИ).  </w:t>
      </w:r>
    </w:p>
    <w:p w14:paraId="6D7E205B" w14:textId="77777777" w:rsidR="009C2395" w:rsidRDefault="009C2395" w:rsidP="009C2395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Международная космическая станция (МКС)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проект пяти космических агентств, объединяющий учёных в области исследований космического пространства.</w:t>
      </w:r>
    </w:p>
    <w:p w14:paraId="1AAC4270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Второй тип – тематически специализированные организации:</w:t>
      </w:r>
    </w:p>
    <w:p w14:paraId="5D7D946F" w14:textId="77777777" w:rsidR="009C2395" w:rsidRDefault="009C2395" w:rsidP="009C2395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Межправительственная группа экспертов по изменению климата (IPCC)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создана под эгидой ООН для оценки риска глобального потепления.</w:t>
      </w:r>
    </w:p>
    <w:p w14:paraId="35B446AF" w14:textId="77777777" w:rsidR="009C2395" w:rsidRDefault="009C2395" w:rsidP="009C2395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Арктический совет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межправительственный форум, в функции которого входит научная дипломатия по арктической проблематике.</w:t>
      </w:r>
    </w:p>
    <w:p w14:paraId="600871AD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Третий тип – консультативные советы по науке:</w:t>
      </w:r>
    </w:p>
    <w:p w14:paraId="3EFDEC57" w14:textId="77777777" w:rsidR="009C2395" w:rsidRDefault="009C2395" w:rsidP="009C2395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Глобальный исследовательский совет (ГИС)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виртуальная организация, в которую входят главы агентств, финансирующих науку, из разных стран мира. Цель – распространение лучших практик организации научной работы и обмена информацией о международной кооперации.  </w:t>
      </w:r>
    </w:p>
    <w:p w14:paraId="2E608E10" w14:textId="77777777" w:rsidR="009C2395" w:rsidRDefault="009C2395" w:rsidP="009C2395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Научно-техническая консультационная сеть Министерств иностранных дел (FMSTAN)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создана в 2016 году, действует под эгидой Международной сети правительственных научных консультаций (INGSA).</w:t>
      </w:r>
    </w:p>
    <w:p w14:paraId="4936C817" w14:textId="77777777" w:rsidR="009C2395" w:rsidRDefault="009C2395" w:rsidP="009C2395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2" w:name="_Toc243217842"/>
      <w:r>
        <w:rPr>
          <w:sz w:val="28"/>
          <w:szCs w:val="28"/>
        </w:rPr>
        <w:t>15.2. Универсальные научные организации</w:t>
      </w:r>
      <w:bookmarkEnd w:id="2"/>
    </w:p>
    <w:p w14:paraId="55A6F0BF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ЮНЕСКО: структура и программы</w:t>
      </w:r>
    </w:p>
    <w:p w14:paraId="006EB9CA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ЮНЕСКО (англ. UNESCO) создана 16 ноября 1945 года, штаб-квартира – в Париже. Насчитывает 190 государств-членов. Кроме штаб-квартиры ЮНЕСКО имеет широкую сеть региональных и кластерных бюро, институтов и центров во многих странах мира, в том числе в Москве – Институт ЮНЕСКО по информационным технологиям в образовании (ИИТО).  </w:t>
      </w:r>
    </w:p>
    <w:p w14:paraId="32DA2B2A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 области естественных наук ЮНЕСКО опирается на региональные бюро (Венеция – для Европы, Найроби, Джакарта, Дели, Каир, Монтевидео) и специализированные институты. Ключевые научные программы:</w:t>
      </w:r>
    </w:p>
    <w:p w14:paraId="76B6A73F" w14:textId="77777777" w:rsidR="009C2395" w:rsidRDefault="009C2395" w:rsidP="009C2395">
      <w:pPr>
        <w:pStyle w:val="a5"/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Международная гидрологическая программа</w:t>
      </w:r>
      <w:r>
        <w:rPr>
          <w:rFonts w:ascii="Times New Roman" w:eastAsia="Times New Roman" w:hAnsi="Times New Roman"/>
          <w:sz w:val="28"/>
          <w:szCs w:val="28"/>
        </w:rPr>
        <w:t xml:space="preserve"> – исследование водных ресурсов.</w:t>
      </w:r>
    </w:p>
    <w:p w14:paraId="583B220B" w14:textId="77777777" w:rsidR="009C2395" w:rsidRDefault="009C2395" w:rsidP="009C2395">
      <w:pPr>
        <w:pStyle w:val="a5"/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Межправительственная океанографическая комиссия</w:t>
      </w:r>
      <w:r>
        <w:rPr>
          <w:rFonts w:ascii="Times New Roman" w:eastAsia="Times New Roman" w:hAnsi="Times New Roman"/>
          <w:sz w:val="28"/>
          <w:szCs w:val="28"/>
        </w:rPr>
        <w:t xml:space="preserve"> – координация океанологических исследований.</w:t>
      </w:r>
    </w:p>
    <w:p w14:paraId="6F95F5DB" w14:textId="77777777" w:rsidR="009C2395" w:rsidRDefault="009C2395" w:rsidP="009C2395">
      <w:pPr>
        <w:pStyle w:val="a5"/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Программа «Человек и биосфера» (МАБ)</w:t>
      </w:r>
      <w:r>
        <w:rPr>
          <w:rFonts w:ascii="Times New Roman" w:eastAsia="Times New Roman" w:hAnsi="Times New Roman"/>
          <w:sz w:val="28"/>
          <w:szCs w:val="28"/>
        </w:rPr>
        <w:t xml:space="preserve"> – Всемирная сеть биосферных резерватов.</w:t>
      </w:r>
    </w:p>
    <w:p w14:paraId="6705C80B" w14:textId="77777777" w:rsidR="009C2395" w:rsidRDefault="009C2395" w:rsidP="009C2395">
      <w:pPr>
        <w:pStyle w:val="a5"/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Международная геонаучная программа</w:t>
      </w:r>
      <w:r>
        <w:rPr>
          <w:rFonts w:ascii="Times New Roman" w:eastAsia="Times New Roman" w:hAnsi="Times New Roman"/>
          <w:sz w:val="28"/>
          <w:szCs w:val="28"/>
        </w:rPr>
        <w:t xml:space="preserve"> – Всемирная сеть национальных геопарков.</w:t>
      </w:r>
    </w:p>
    <w:p w14:paraId="63D84701" w14:textId="77777777" w:rsidR="009C2395" w:rsidRDefault="009C2395" w:rsidP="009C2395">
      <w:pPr>
        <w:pStyle w:val="a5"/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Международная программа фундаментальных наук</w:t>
      </w:r>
      <w:r>
        <w:rPr>
          <w:rFonts w:ascii="Times New Roman" w:eastAsia="Times New Roman" w:hAnsi="Times New Roman"/>
          <w:sz w:val="28"/>
          <w:szCs w:val="28"/>
        </w:rPr>
        <w:t xml:space="preserve">.  </w:t>
      </w:r>
    </w:p>
    <w:p w14:paraId="7B28D89C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ЮНЕСКО стояла у истоков таких международных проектов, как Европейский центр ядерных исследований (ЦЕРН) и Международный союз охраны природы.  </w:t>
      </w:r>
    </w:p>
    <w:p w14:paraId="690AE469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Международный научный совет (ISC)</w:t>
      </w:r>
    </w:p>
    <w:p w14:paraId="61E98734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Международный научный совет (International Science Council, ISC) образован в 2018 году в результате слияния Международного совета по науке (ICSU, основан в 1931 году) и Международного совета по социальным наукам (ISSC). В ISC входит более 40 международных научных союзов и ассоциаций и 140 национальных и региональных научных организаций. Совет создавался с целью защиты научной свободы, содействия международным исследованиям и повышения уровня информированности лиц, принимающих политические решения.  </w:t>
      </w:r>
    </w:p>
    <w:p w14:paraId="56F4C7C8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Историческим предшественником ISC была Международная ассоциация академий (МАА), созданная в 1899 году по инициативе Лондонского королевского общества. МАА объединила 24 академии, преимущественно европейские, и просуществовала до начала Первой мировой войны. Она стала первой научной организацией, воплотившей научную дипломатию в реальную практику.  </w:t>
      </w:r>
    </w:p>
    <w:p w14:paraId="07A12118" w14:textId="77777777" w:rsidR="009C2395" w:rsidRDefault="009C2395" w:rsidP="009C2395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3" w:name="_Toc243217843"/>
      <w:r>
        <w:rPr>
          <w:sz w:val="28"/>
          <w:szCs w:val="28"/>
        </w:rPr>
        <w:t>15.3. Научная дипломатия и её акторы</w:t>
      </w:r>
      <w:bookmarkEnd w:id="3"/>
    </w:p>
    <w:p w14:paraId="4B7F5C9A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Научная дипломатия включает три измерения: «наука в дипломатии» (научные консультации для внешней политики), «дипломатия для науки» (содействие международному научному сотрудничеству) и «наука для дипломатии» (наука как инструмент построения международных отношений).  </w:t>
      </w:r>
    </w:p>
    <w:p w14:paraId="70105357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Американская ассоциация содействия развитию науки (AAAS)</w:t>
      </w:r>
    </w:p>
    <w:p w14:paraId="3D5A10D0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AAAS – международная некоммерческая организация, основанная в 1848 году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3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На её базе работает Центр научной дипломатии, цель которого – использование науки для строительства мостов между странами. Центр издаёт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онлайн-журнал «Science &amp; Diplomacy» и ежегодно присуждает премии за вклад в развитие научной дипломатии.  </w:t>
      </w:r>
    </w:p>
    <w:p w14:paraId="4343DE18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Пагуошское движение учёных</w:t>
      </w:r>
    </w:p>
    <w:p w14:paraId="1DAC1317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Пагуошское движение берёт начало от манифеста Рассела – Эйнштейна, оглашённого в 1955 году. Первая Пагуошская конференция состоялась в 1957 году в местечке Пагуош (Канада) с участием учёных из 10 стран. Движение стало примером «науки для дипломатии» – научное сообщество активно участвовало в регулировании международных конфликтов, особенно в области ядерного разоружения.  </w:t>
      </w:r>
    </w:p>
    <w:p w14:paraId="6D65210F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Дартмутские конференции</w:t>
      </w:r>
    </w:p>
    <w:p w14:paraId="5BB23622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Дартмутские конференции (Дартмутский диалог) – серия встреч учёных и общественных деятелей СССР и США, начавшаяся в 1960 году в Дартмутском колледже (США). Конференции стали платформой неофициального диалога в условиях холодной войны.  </w:t>
      </w:r>
    </w:p>
    <w:p w14:paraId="5ED38F97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Национальные научные фонды как акторы дипломатии для науки</w:t>
      </w:r>
    </w:p>
    <w:p w14:paraId="75387A81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Национальный научный фонд США (NSF), Национальный центр научных исследований Франции (CNRS)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4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Российский научный фонд (РНФ) выступают платформами для «дипломатии для науки» – они финансируют международные проекты, поддерживают мобильность учёных, создают условия для трансграничной кооперации.  </w:t>
      </w:r>
    </w:p>
    <w:p w14:paraId="12C0A139" w14:textId="77777777" w:rsidR="009C2395" w:rsidRDefault="009C2395" w:rsidP="009C2395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4" w:name="_Toc243217844"/>
      <w:r>
        <w:rPr>
          <w:sz w:val="28"/>
          <w:szCs w:val="28"/>
        </w:rPr>
        <w:t>15.4. Региональные организации научного взаимодействия</w:t>
      </w:r>
      <w:bookmarkEnd w:id="4"/>
    </w:p>
    <w:p w14:paraId="02F5D304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СНГ: базовые организации и отраслевые советы</w:t>
      </w:r>
    </w:p>
    <w:p w14:paraId="2BACE29F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рамках Содружества Независимых Государств создано 118 базовых организаций в различных областях сотрудничества. Статус базовой организации придан 114 учреждениям, действующим в 7 государствах – участниках СНГ. Из них 94 находятся в Российской Федерации, 14 – в Беларуси, 4 – в Казахстане, 3 – в Таджикистане.  </w:t>
      </w:r>
    </w:p>
    <w:p w14:paraId="227EC103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Основные направления деятельности базовых организаций СНГ: подготовка, переподготовка и повышение квалификации специалистов; проведение совместных научных исследований; разработка рекомендаций по гармонизации и унификации нормативной базы; проведение международных научно-практических конференций, семинаров и симпозиумов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5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14:paraId="73BF52FF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Ключевые межгосударственные структуры СНГ в научной сфере:</w:t>
      </w:r>
    </w:p>
    <w:p w14:paraId="0DE008B6" w14:textId="77777777" w:rsidR="009C2395" w:rsidRDefault="009C2395" w:rsidP="009C2395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Совет по сотрудничеству в области фундаментальной науки государств – участников СНГ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создан в 2011 году, объединяет руководителей академий наук стран СНГ.  </w:t>
      </w:r>
    </w:p>
    <w:p w14:paraId="66BADC32" w14:textId="77777777" w:rsidR="009C2395" w:rsidRDefault="009C2395" w:rsidP="009C2395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Межгосударственный совет по сотрудничеству в научно-технической и инновационной сферах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координирует прикладные исследования и инновационные проекты.</w:t>
      </w:r>
    </w:p>
    <w:p w14:paraId="299E5F34" w14:textId="77777777" w:rsidR="009C2395" w:rsidRDefault="009C2395" w:rsidP="009C2395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Межгосударственный координационный совет по научно-технической информации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обеспечивает обмен научно-технической информацией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6"/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BB71D17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Примеры базовых организаций СНГ: Институт физики им. П. Н. Лебедева РАН (ФИАН) – по подготовке научных кадров по физическим наукам; Физико-технический институт им. С.У. Умарова АН Таджикистана – по физико-техническим наукам; Петербургский институт ядерной физики им. Б. П. Константинова НИЦ «Курчатовский институт» – по высокопроизводительным вычислениям.  </w:t>
      </w:r>
    </w:p>
    <w:p w14:paraId="7AE3D4F7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БРИКС: научно-технологическое сотрудничество</w:t>
      </w:r>
    </w:p>
    <w:p w14:paraId="116E113A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БРИКС – межгосударственное объединение быстроразвивающихся стран. Научное сотрудничество базируется на Меморандуме о взаимопонимании в сфере науки, технологий и инноваций (2015 год) и Рамочной программе БРИКС.  </w:t>
      </w:r>
    </w:p>
    <w:p w14:paraId="46979D89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Приоритетные направления: энергетика и экология; медицина и биотехнологии; продовольствие и сельское хозяйство; искусственный интеллект и большие данные; материаловедение и физика.  </w:t>
      </w:r>
    </w:p>
    <w:p w14:paraId="418364D7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Ключевые инициативы:</w:t>
      </w:r>
    </w:p>
    <w:p w14:paraId="68C05E4D" w14:textId="77777777" w:rsidR="009C2395" w:rsidRDefault="009C2395" w:rsidP="009C2395">
      <w:pPr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Центр БРИКС по исследованию и разработке вакцин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создан для борьбы с эпидемиями и развития инновационной фармацевтики.</w:t>
      </w:r>
    </w:p>
    <w:p w14:paraId="36EE93C7" w14:textId="77777777" w:rsidR="009C2395" w:rsidRDefault="009C2395" w:rsidP="009C2395">
      <w:pPr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Рамочная программа сотрудничества в области 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принята на саммите в Казани в 2024 году, дала старт проектам в сфере обработки языков стран БРИКС, умного сельского хозяйства и прогнозирования изменений климата.</w:t>
      </w:r>
    </w:p>
    <w:p w14:paraId="79A81108" w14:textId="77777777" w:rsidR="009C2395" w:rsidRDefault="009C2395" w:rsidP="009C2395">
      <w:pPr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Цифровой облачный коридор БРИКС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создание общей сети хранения данных и высокопроизводительных вычислений.</w:t>
      </w:r>
    </w:p>
    <w:p w14:paraId="3FA254A5" w14:textId="77777777" w:rsidR="009C2395" w:rsidRDefault="009C2395" w:rsidP="009C2395">
      <w:pPr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Новый банк развития (Банк БРИКС)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финансирование научных и инфраструктурных проектов.  </w:t>
      </w:r>
    </w:p>
    <w:p w14:paraId="519617C8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 десять лет в рамках существующего механизма сотрудничества проведены шесть совместных исследовательских конкурсов, девять форумов молодых учёных и семь премий молодых инноваторов.  </w:t>
      </w:r>
    </w:p>
    <w:p w14:paraId="061B2555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ШОС: образовательное и научное сотрудничество</w:t>
      </w:r>
    </w:p>
    <w:p w14:paraId="5A73E0E7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Шанхайская организация сотрудничества (ШОС) сформировалась как региональная площадка для укрепления безопасности, но постепенно расширила сферы на транспорт, энергетику, торговлю, науку и образование.  </w:t>
      </w:r>
    </w:p>
    <w:p w14:paraId="2A87F282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Ключевые инициативы:</w:t>
      </w:r>
    </w:p>
    <w:p w14:paraId="3C6F30FB" w14:textId="77777777" w:rsidR="009C2395" w:rsidRDefault="009C2395" w:rsidP="009C2395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Сетевой университет ШОС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создан в 2008 году, объединяет 82 университета Китая, Казахстана, Кыргызстана, России и Таджикистана.  </w:t>
      </w:r>
    </w:p>
    <w:p w14:paraId="10B6D92A" w14:textId="77777777" w:rsidR="009C2395" w:rsidRDefault="009C2395" w:rsidP="009C2395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Программа сотрудничества по развитию искусственного интеллекта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прорабатывается «дорожная карта» реализации.</w:t>
      </w:r>
    </w:p>
    <w:p w14:paraId="51B5DAC7" w14:textId="77777777" w:rsidR="009C2395" w:rsidRDefault="009C2395" w:rsidP="009C2395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Пилотный отбор совместных научно-исследовательских 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инновационных проектов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рамках ШОС.  </w:t>
      </w:r>
    </w:p>
    <w:p w14:paraId="4896D8D0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Сопряжение БРИКС и ШОС в Большой Евразии</w:t>
      </w:r>
    </w:p>
    <w:p w14:paraId="5E087934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БРИКС и ШОС способны стать взаимодополняющими опорами Большой Евразии: БРИКС обеспечивает глобальный экономический, финансовый и политический охват, ШОС – региональную инфраструктуру безопасности, транспортной связанности и политического диалога. Ядро участников совпадает – Россия, Индия, Иран, Китай. Потенциальные области сопряжения включают энергетику, критические ресурсы, цифровую связность, искусственный интеллект, продовольственную безопасность.  </w:t>
      </w:r>
    </w:p>
    <w:p w14:paraId="061EB156" w14:textId="77777777" w:rsidR="009C2395" w:rsidRDefault="009C2395" w:rsidP="009C2395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5" w:name="_Toc243217845"/>
      <w:r>
        <w:rPr>
          <w:sz w:val="28"/>
          <w:szCs w:val="28"/>
        </w:rPr>
        <w:t>15.5. Российская академия наук и НИЦ «Курчатовский институт»</w:t>
      </w:r>
      <w:bookmarkEnd w:id="5"/>
    </w:p>
    <w:p w14:paraId="6285E3DE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академия наук (РАН)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поддерживает высокий престиж отечественной науки в мировом сообществе. В последние годы РАН подписала соглашения о научном сотрудничестве с академиями наук ЮАР, Израиля, Республики Корея и КНДР.  </w:t>
      </w:r>
    </w:p>
    <w:p w14:paraId="45839B42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Национальный исследовательский центр «Курчатовский институт»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ведущая российская научная организация в области ядерной физики и нанотехнологий, выполняющая функции международного центра научного взаимодействия.</w:t>
      </w:r>
    </w:p>
    <w:p w14:paraId="64E8041F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Российский научный фонд (РНФ)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ключевая организация, финансирующая фундаментальные научные исследования, включая международные проекты и гранты для привлечения ведущих учёных.  </w:t>
      </w:r>
    </w:p>
    <w:p w14:paraId="33F30E9A" w14:textId="77777777" w:rsidR="009C2395" w:rsidRDefault="009C2395" w:rsidP="009C2395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Взаимодействие с учёными-соотечественниками за рубежом</w:t>
      </w:r>
    </w:p>
    <w:p w14:paraId="0E83EEA8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Особая форма международного научного взаимодействия – работа с научной диаспорой. Ключевые организации:</w:t>
      </w:r>
    </w:p>
    <w:p w14:paraId="76676C29" w14:textId="77777777" w:rsidR="009C2395" w:rsidRDefault="009C2395" w:rsidP="009C2395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RASA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(Russian-Speaking Academic Science Association) – </w:t>
      </w:r>
      <w:r>
        <w:rPr>
          <w:rFonts w:ascii="Times New Roman" w:eastAsia="Times New Roman" w:hAnsi="Times New Roman" w:cs="Times New Roman"/>
          <w:sz w:val="28"/>
          <w:szCs w:val="28"/>
        </w:rPr>
        <w:t>основана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2008 </w:t>
      </w:r>
      <w:r>
        <w:rPr>
          <w:rFonts w:ascii="Times New Roman" w:eastAsia="Times New Roman" w:hAnsi="Times New Roman" w:cs="Times New Roman"/>
          <w:sz w:val="28"/>
          <w:szCs w:val="28"/>
        </w:rPr>
        <w:t>году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объединяет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более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200 </w:t>
      </w:r>
      <w:r>
        <w:rPr>
          <w:rFonts w:ascii="Times New Roman" w:eastAsia="Times New Roman" w:hAnsi="Times New Roman" w:cs="Times New Roman"/>
          <w:sz w:val="28"/>
          <w:szCs w:val="28"/>
        </w:rPr>
        <w:t>учёных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Консорциум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трёх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региональных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организаций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: RASA-America, RASA-Asia, RASA-Europe.</w:t>
      </w:r>
    </w:p>
    <w:p w14:paraId="78AD4585" w14:textId="77777777" w:rsidR="009C2395" w:rsidRDefault="009C2395" w:rsidP="009C2395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RuSciTech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налаживание международных связей российских учреждений для совместных научных проектов, организация стажировок и лекций.  </w:t>
      </w:r>
    </w:p>
    <w:p w14:paraId="2A50FD6C" w14:textId="77777777" w:rsidR="009C2395" w:rsidRDefault="009C2395" w:rsidP="009C2395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Тенденции и вызовы</w:t>
      </w:r>
    </w:p>
    <w:p w14:paraId="0016E6B0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Современная система международных научных организаций сталкивается с рядом вызовов:</w:t>
      </w:r>
    </w:p>
    <w:p w14:paraId="099CA83C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Политизация науки.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Геополитическая напряжённость ограничивает научные контакты, нарушает сложившиеся связи, заставляет искать новых партнёров. Расширение географии сотрудничества – приоритет для России: акцент смещается в сторону Азии, Африки, Ближнего Востока и Латинской Америки.  </w:t>
      </w:r>
    </w:p>
    <w:p w14:paraId="59EEC569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Цифровизация.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Новые форматы – онлайн-конференции, виртуальная мобильность, совместные цифровые платформы, дистанционные лаборатории – снижают барьеры участия, но не заменяют физическую мобильность и работу на установках класса мегасайенс.  </w:t>
      </w:r>
    </w:p>
    <w:p w14:paraId="38183CCF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Институциональная фрагментация.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Множественность форматов (БРИКС, ШОС, СНГ, ЕАЭС) создаёт риск дублирования и конкуренции за ресурсы. Сопряжение инициатив – ключевая задача, требующая координации на уровне государств.  </w:t>
      </w:r>
    </w:p>
    <w:p w14:paraId="14E19589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Утечка умов.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Активная академическая мобильность может привести к оттоку талентов. Работа с научной диаспорой, грантовые программы возврата, создание привлекательной инфраструктуры – механизмы противодействия.  </w:t>
      </w:r>
    </w:p>
    <w:p w14:paraId="2D32756C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3CF831C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Организации международного научного взаимодействия образуют многоуровневую систему: от глобальных (ЮНЕСКО, ISC) до региональных (СНГ, БРИКС, ШОС) и национальных (РАН, РНФ, НИЦ «Курчатовский институт»). Каждый уровень решает свои задачи: глобальные организации задируют стандарты и координируют программы устойчивого развития; региональные обеспечивают интеграцию и трансфер технологий; национальные – генерируют знания и формируют кадровый потенциал. Установки класса мегасайенс (ЦЕРН, ОИЯИ, МКС) выполняют уникальную функцию – объединяют учёных вокруг исследовательской инфраструктуры, доступ к которой невозможен в рамках одного государства.</w:t>
      </w:r>
    </w:p>
    <w:p w14:paraId="4AE5789A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Научная дипломатия – от Пагуошских конференций до Глобального исследовательского совета – остаётся эффективным инструментом поддержания каналов взаимодействия в условиях геополитической напряжённости. Будущее системы зависит от способности сочетать очные и цифровые форматы, диверсифицировать партнёрство, обеспечивать академическую свободу и сохранять открытость науки как глобального общественного блага.</w:t>
      </w:r>
    </w:p>
    <w:p w14:paraId="605084F5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C09A31E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Контрольные вопросы</w:t>
      </w:r>
    </w:p>
    <w:p w14:paraId="68C36FE4" w14:textId="77777777" w:rsidR="009C2395" w:rsidRDefault="009C2395" w:rsidP="009C2395">
      <w:pPr>
        <w:widowControl w:val="0"/>
        <w:numPr>
          <w:ilvl w:val="0"/>
          <w:numId w:val="1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Сравните организации общего и специального профиля в системе международного научного взаимодействия. </w:t>
      </w:r>
    </w:p>
    <w:p w14:paraId="2CA86E4C" w14:textId="77777777" w:rsidR="009C2395" w:rsidRDefault="009C2395" w:rsidP="009C2395">
      <w:pPr>
        <w:widowControl w:val="0"/>
        <w:numPr>
          <w:ilvl w:val="0"/>
          <w:numId w:val="1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Раскройте три измерения научной дипломатии («наука в дипломатии», «дипломатия для науки», «наука для дипломатии») и соотнесите с каждым по одному конкретному актору из лекции </w:t>
      </w:r>
    </w:p>
    <w:p w14:paraId="549C25BC" w14:textId="77777777" w:rsidR="009C2395" w:rsidRDefault="009C2395" w:rsidP="009C2395">
      <w:pPr>
        <w:widowControl w:val="0"/>
        <w:numPr>
          <w:ilvl w:val="0"/>
          <w:numId w:val="1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Проанализируйте структуру научного сотрудничества в рамках СНГ: что такое «базовые организации» и какие функции они выполняют? </w:t>
      </w:r>
    </w:p>
    <w:p w14:paraId="05608C1F" w14:textId="77777777" w:rsidR="009C2395" w:rsidRDefault="009C2395" w:rsidP="009C2395">
      <w:pPr>
        <w:widowControl w:val="0"/>
        <w:numPr>
          <w:ilvl w:val="0"/>
          <w:numId w:val="1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Опишите роль установок класса «мегасайенс» (ЦЕРН, ОИЯИ, МКС) в международном научном взаимодействии. </w:t>
      </w:r>
    </w:p>
    <w:p w14:paraId="63EC272C" w14:textId="77777777" w:rsidR="009C2395" w:rsidRDefault="009C2395" w:rsidP="009C2395">
      <w:pPr>
        <w:widowControl w:val="0"/>
        <w:numPr>
          <w:ilvl w:val="0"/>
          <w:numId w:val="1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Назовите три ключевых вызова, с которыми сталкивается современная система международных научных организаций (политизация, цифровизация, институциональная фрагментация, утечка умов). </w:t>
      </w:r>
    </w:p>
    <w:p w14:paraId="75A7BFBD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F73A00F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Кейс: «Каспийская научная платформа: выбор формата»</w:t>
      </w:r>
    </w:p>
    <w:p w14:paraId="51D03697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Ситуация: </w:t>
      </w:r>
      <w:r>
        <w:rPr>
          <w:rFonts w:ascii="Times New Roman" w:eastAsia="Times New Roman" w:hAnsi="Times New Roman" w:cs="Times New Roman"/>
          <w:sz w:val="28"/>
          <w:szCs w:val="28"/>
        </w:rPr>
        <w:t>Астраханский государственный технический университет инициировал создание международной научной платформы по изучению Каспийского моря. Потенциальные участники – учёные из России, Казахстана, Азербайджана, Ирана и Туркмении. Идея поддержана Минобрнауки, но формат ещё не определён.</w:t>
      </w:r>
    </w:p>
    <w:p w14:paraId="3BCB2236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Проблема: </w:t>
      </w:r>
      <w:r>
        <w:rPr>
          <w:rFonts w:ascii="Times New Roman" w:eastAsia="Times New Roman" w:hAnsi="Times New Roman" w:cs="Times New Roman"/>
          <w:sz w:val="28"/>
          <w:szCs w:val="28"/>
        </w:rPr>
        <w:t>У организаторов три варианта оформления:</w:t>
      </w:r>
    </w:p>
    <w:p w14:paraId="7AEC45E9" w14:textId="77777777" w:rsidR="009C2395" w:rsidRDefault="009C2395" w:rsidP="009C2395">
      <w:pPr>
        <w:widowControl w:val="0"/>
        <w:numPr>
          <w:ilvl w:val="0"/>
          <w:numId w:val="1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Базовая организация СНГ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проверенный формат, 114 учреждений уже работают по этой схеме. Но Туркмения и Иран не входят в СНГ, и их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подключение потребует отдельного межправительственного соглашения.</w:t>
      </w:r>
    </w:p>
    <w:p w14:paraId="5542E2BF" w14:textId="77777777" w:rsidR="009C2395" w:rsidRDefault="009C2395" w:rsidP="009C2395">
      <w:pPr>
        <w:widowControl w:val="0"/>
        <w:numPr>
          <w:ilvl w:val="0"/>
          <w:numId w:val="1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Проект в рамках ШОС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все пять стран-участниц либо входят в ШОС, либо имеют статус партнёра. Сетевой университет ШОС уже объединяет 82 вуза. Но научное направление ШОС – преимущественно гуманитарное и образовательное; природоохранные проекты там – новинка без отлаженных механизмов финансирования.</w:t>
      </w:r>
    </w:p>
    <w:p w14:paraId="020190D5" w14:textId="77777777" w:rsidR="009C2395" w:rsidRDefault="009C2395" w:rsidP="009C2395">
      <w:pPr>
        <w:widowControl w:val="0"/>
        <w:numPr>
          <w:ilvl w:val="0"/>
          <w:numId w:val="1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Независимая платформа по типу Пагуошского движения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неформальное объединение учёных без привязки к межгосударственным структурам. Гибкость максимальная, но доступ к государственному финансированию и инфраструктуре класса мегасайенс минимальный.</w:t>
      </w:r>
    </w:p>
    <w:p w14:paraId="111DEDE2" w14:textId="77777777" w:rsidR="009C2395" w:rsidRDefault="009C2395" w:rsidP="009C2395">
      <w:pPr>
        <w:widowControl w:val="0"/>
        <w:adjustRightInd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Задания:</w:t>
      </w:r>
    </w:p>
    <w:p w14:paraId="443BBAEA" w14:textId="77777777" w:rsidR="009C2395" w:rsidRDefault="009C2395" w:rsidP="009C2395">
      <w:pPr>
        <w:widowControl w:val="0"/>
        <w:numPr>
          <w:ilvl w:val="0"/>
          <w:numId w:val="1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каждого из трёх вариантов укажи: тип организации (общего / специального профиля), уровень (глобальный / региональный / национальный) и форму научной дипломатии («наука в дипломатии», «дипломатия для науки», «наука для дипломатии»).</w:t>
      </w:r>
    </w:p>
    <w:p w14:paraId="427E7C3F" w14:textId="77777777" w:rsidR="009C2395" w:rsidRDefault="009C2395" w:rsidP="009C2395">
      <w:pPr>
        <w:widowControl w:val="0"/>
        <w:numPr>
          <w:ilvl w:val="0"/>
          <w:numId w:val="1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Назови по одному главному преимуществу и одному главному риску каждого варианта.</w:t>
      </w:r>
    </w:p>
    <w:p w14:paraId="0971638B" w14:textId="77777777" w:rsidR="009C2395" w:rsidRDefault="009C2395" w:rsidP="009C2395">
      <w:pPr>
        <w:widowControl w:val="0"/>
        <w:numPr>
          <w:ilvl w:val="0"/>
          <w:numId w:val="1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Какой формат ты выбрал бы и почему? Учти, что Астрахань географически связана со всеми пятью странами, а проект требует и полевых исследований, и лабораторной инфраструктуры.</w:t>
      </w:r>
    </w:p>
    <w:p w14:paraId="5E047920" w14:textId="77777777" w:rsidR="009C2395" w:rsidRDefault="009C2395" w:rsidP="009C2395">
      <w:pPr>
        <w:widowControl w:val="0"/>
        <w:numPr>
          <w:ilvl w:val="0"/>
          <w:numId w:val="1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Предложи один конкретный шаг для запуска платформы в течение шести месяцев – независимо от выбранного формата.</w:t>
      </w:r>
    </w:p>
    <w:p w14:paraId="6CA7B237" w14:textId="77777777" w:rsidR="00EE6D74" w:rsidRDefault="00EE6D74"/>
    <w:sectPr w:rsidR="00EE6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2BEB2" w14:textId="77777777" w:rsidR="009C2395" w:rsidRDefault="009C2395" w:rsidP="009C2395">
      <w:pPr>
        <w:spacing w:after="0" w:line="240" w:lineRule="auto"/>
      </w:pPr>
      <w:r>
        <w:separator/>
      </w:r>
    </w:p>
  </w:endnote>
  <w:endnote w:type="continuationSeparator" w:id="0">
    <w:p w14:paraId="67FF7CBB" w14:textId="77777777" w:rsidR="009C2395" w:rsidRDefault="009C2395" w:rsidP="009C2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9E749" w14:textId="77777777" w:rsidR="009C2395" w:rsidRDefault="009C2395" w:rsidP="009C2395">
      <w:pPr>
        <w:spacing w:after="0" w:line="240" w:lineRule="auto"/>
      </w:pPr>
      <w:r>
        <w:separator/>
      </w:r>
    </w:p>
  </w:footnote>
  <w:footnote w:type="continuationSeparator" w:id="0">
    <w:p w14:paraId="109F2103" w14:textId="77777777" w:rsidR="009C2395" w:rsidRDefault="009C2395" w:rsidP="009C2395">
      <w:pPr>
        <w:spacing w:after="0" w:line="240" w:lineRule="auto"/>
      </w:pPr>
      <w:r>
        <w:continuationSeparator/>
      </w:r>
    </w:p>
  </w:footnote>
  <w:footnote w:id="1">
    <w:p w14:paraId="5BEE56F7" w14:textId="77777777" w:rsidR="009C2395" w:rsidRDefault="009C2395" w:rsidP="009C2395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Теоретико-правовые основы формирования модели правового регулирования научно-технического сотрудничества Российской Федерации и стран СНГ, ЕАЭС в отраслях ТЭК по проблемам рационального природопользования, экологии и охраны окружающей среды в рамках единой научно-технической политики : монография / Ю.В. Волков, А.А. Дьяконова, Т.В. Ефимцева [и др.] ; под ред. Т.В. Ефимцевой, Р.Н. Салиевой. – Москва : ИНФРА-М, 2020. – 255 с.</w:t>
      </w:r>
    </w:p>
  </w:footnote>
  <w:footnote w:id="2">
    <w:p w14:paraId="618B2888" w14:textId="77777777" w:rsidR="009C2395" w:rsidRDefault="009C2395" w:rsidP="009C2395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Попова, Н.В. Россия в объединении БРИКС: ценностное и научно-технологическое измерение : политологический анализ : диссертация ... кандидата политических наук : 23.00.04 / Попова Наталья Валерьевна; [Место защиты: Московский государственный университет имени М.В. Ломоносова]. - Москва, 2021. - 328 с.</w:t>
      </w:r>
    </w:p>
  </w:footnote>
  <w:footnote w:id="3">
    <w:p w14:paraId="329ECB57" w14:textId="77777777" w:rsidR="009C2395" w:rsidRDefault="009C2395" w:rsidP="009C2395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Ковина, Т. П. Основы научной коммуникации : учебное пособие / Т. П. Ковина. – Москва : РУТ (МИИТ), 2020. – 120 с. – Текст : электронный // Лань : электронно-библиотечная система. – URL: https://e.lanbook.com/book/175966. – Режим доступа: для авториз. пользователей.</w:t>
      </w:r>
    </w:p>
  </w:footnote>
  <w:footnote w:id="4">
    <w:p w14:paraId="10EB8B98" w14:textId="77777777" w:rsidR="009C2395" w:rsidRDefault="009C2395" w:rsidP="009C2395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Там же.</w:t>
      </w:r>
    </w:p>
  </w:footnote>
  <w:footnote w:id="5">
    <w:p w14:paraId="37570888" w14:textId="77777777" w:rsidR="009C2395" w:rsidRDefault="009C2395" w:rsidP="009C2395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Горячев Ю.А., Захаров В.Ф, Омельченко Е.А. Международные стандарты образования: уроки истории и современность: монография / второе, дополненное и переработанное издание под общей редакцией Ю.А. Горячева / монография переведена с русского на английский В. Ф. Захаровым, Москва: Этносфера, 2023. – 336 с.</w:t>
      </w:r>
    </w:p>
  </w:footnote>
  <w:footnote w:id="6">
    <w:p w14:paraId="20EF19BB" w14:textId="77777777" w:rsidR="009C2395" w:rsidRDefault="009C2395" w:rsidP="009C2395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Международное право [Текст] : особенная часть : учебник для студентов высших учебных заведений, обучающихся по направлению "Юриспруденция" и специальности "Юриспруденция" / [Андреев М. В. и др.] ; [отв. ред.: Валеев Р. М., Курдюков Г. И.] ; Казанский гос. ун-т им. В. И. Ульянова-Ленина. - Москва : Статут, 2010. - 623 с.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F5F18"/>
    <w:multiLevelType w:val="hybridMultilevel"/>
    <w:tmpl w:val="AE22CC4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4700785"/>
    <w:multiLevelType w:val="hybridMultilevel"/>
    <w:tmpl w:val="33A6D4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850381"/>
    <w:multiLevelType w:val="hybridMultilevel"/>
    <w:tmpl w:val="2DD0CDA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A60570A"/>
    <w:multiLevelType w:val="hybridMultilevel"/>
    <w:tmpl w:val="BCEE915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E6614D8"/>
    <w:multiLevelType w:val="hybridMultilevel"/>
    <w:tmpl w:val="8FE01C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B55961"/>
    <w:multiLevelType w:val="hybridMultilevel"/>
    <w:tmpl w:val="3BAE16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2C63184"/>
    <w:multiLevelType w:val="hybridMultilevel"/>
    <w:tmpl w:val="843679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C49266F"/>
    <w:multiLevelType w:val="hybridMultilevel"/>
    <w:tmpl w:val="527CE2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D2772CA"/>
    <w:multiLevelType w:val="hybridMultilevel"/>
    <w:tmpl w:val="E346862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02A05E2"/>
    <w:multiLevelType w:val="hybridMultilevel"/>
    <w:tmpl w:val="9C7845A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F653350"/>
    <w:multiLevelType w:val="hybridMultilevel"/>
    <w:tmpl w:val="5E08D8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56B6709"/>
    <w:multiLevelType w:val="hybridMultilevel"/>
    <w:tmpl w:val="09DCBBE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395"/>
    <w:rsid w:val="009C2395"/>
    <w:rsid w:val="00EE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E87D3"/>
  <w15:chartTrackingRefBased/>
  <w15:docId w15:val="{A2648241-C611-4B89-A9FD-102B546E4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395"/>
    <w:pPr>
      <w:spacing w:line="254" w:lineRule="auto"/>
    </w:pPr>
  </w:style>
  <w:style w:type="paragraph" w:styleId="1">
    <w:name w:val="heading 1"/>
    <w:basedOn w:val="a"/>
    <w:link w:val="10"/>
    <w:uiPriority w:val="9"/>
    <w:qFormat/>
    <w:rsid w:val="009C2395"/>
    <w:pPr>
      <w:spacing w:after="0" w:line="240" w:lineRule="auto"/>
      <w:ind w:firstLine="709"/>
      <w:jc w:val="both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2395"/>
    <w:pPr>
      <w:keepNext/>
      <w:keepLines/>
      <w:spacing w:after="0" w:line="240" w:lineRule="auto"/>
      <w:ind w:firstLine="709"/>
      <w:outlineLvl w:val="1"/>
    </w:pPr>
    <w:rPr>
      <w:rFonts w:ascii="Times New Roman" w:eastAsiaTheme="majorEastAsia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2395"/>
    <w:rPr>
      <w:rFonts w:ascii="Times New Roman" w:eastAsia="Times New Roman" w:hAnsi="Times New Roman" w:cs="Times New Roman"/>
      <w:b/>
      <w:bCs/>
      <w:kern w:val="36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C2395"/>
    <w:rPr>
      <w:rFonts w:ascii="Times New Roman" w:eastAsiaTheme="majorEastAsia" w:hAnsi="Times New Roman" w:cs="Times New Roman"/>
      <w:b/>
      <w:bCs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sid w:val="009C239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C2395"/>
    <w:rPr>
      <w:sz w:val="20"/>
      <w:szCs w:val="20"/>
    </w:rPr>
  </w:style>
  <w:style w:type="paragraph" w:styleId="a5">
    <w:name w:val="List Paragraph"/>
    <w:basedOn w:val="a"/>
    <w:uiPriority w:val="34"/>
    <w:qFormat/>
    <w:rsid w:val="009C2395"/>
    <w:pPr>
      <w:ind w:left="720"/>
      <w:contextualSpacing/>
    </w:pPr>
    <w:rPr>
      <w:rFonts w:ascii="Calibri" w:eastAsia="Calibri" w:hAnsi="Calibri" w:cs="Times New Roman"/>
      <w:kern w:val="2"/>
      <w:lang w:eastAsia="en-US"/>
    </w:rPr>
  </w:style>
  <w:style w:type="character" w:styleId="a6">
    <w:name w:val="footnote reference"/>
    <w:basedOn w:val="a0"/>
    <w:uiPriority w:val="99"/>
    <w:semiHidden/>
    <w:unhideWhenUsed/>
    <w:rsid w:val="009C23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1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2574</Words>
  <Characters>14677</Characters>
  <Application>Microsoft Office Word</Application>
  <DocSecurity>0</DocSecurity>
  <Lines>122</Lines>
  <Paragraphs>34</Paragraphs>
  <ScaleCrop>false</ScaleCrop>
  <Company/>
  <LinksUpToDate>false</LinksUpToDate>
  <CharactersWithSpaces>17217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Бусурина</dc:creator>
  <cp:keywords/>
  <dc:description/>
  <cp:lastModifiedBy>Лариса Бусурина</cp:lastModifiedBy>
  <cp:revision>1</cp:revision>
  <dcterms:created xsi:type="dcterms:W3CDTF">2026-10-28T19:48:00Z</dcterms:created>
  <dcterms:modified xsi:type="dcterms:W3CDTF">2026-10-28T19:49:00Z</dcterms:modified>
</cp:coreProperties>
</file>